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hanging="900"/>
        <w:rPr/>
      </w:pPr>
      <w:r>
        <w:rPr/>
        <w:drawing>
          <wp:inline distT="0" distB="0" distL="0" distR="0">
            <wp:extent cx="4109720" cy="68326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2"/>
                    <a:stretch>
                      <a:fillRect/>
                    </a:stretch>
                  </pic:blipFill>
                  <pic:spPr bwMode="auto">
                    <a:xfrm>
                      <a:off x="0" y="0"/>
                      <a:ext cx="4109720" cy="683260"/>
                    </a:xfrm>
                    <a:prstGeom prst="rect">
                      <a:avLst/>
                    </a:prstGeom>
                  </pic:spPr>
                </pic:pic>
              </a:graphicData>
            </a:graphic>
          </wp:inline>
        </w:drawing>
        <mc:AlternateContent>
          <mc:Choice Requires="wps">
            <w:drawing>
              <wp:anchor behindDoc="0" distT="0" distB="0" distL="114935" distR="114935" simplePos="0" locked="0" layoutInCell="1" allowOverlap="1" relativeHeight="3">
                <wp:simplePos x="0" y="0"/>
                <wp:positionH relativeFrom="column">
                  <wp:posOffset>3429000</wp:posOffset>
                </wp:positionH>
                <wp:positionV relativeFrom="paragraph">
                  <wp:posOffset>-114300</wp:posOffset>
                </wp:positionV>
                <wp:extent cx="3086735" cy="915035"/>
                <wp:effectExtent l="3810" t="5715" r="6985" b="5080"/>
                <wp:wrapNone/>
                <wp:docPr id="1" name="Text Box 3"/>
                <a:graphic xmlns:a="http://schemas.openxmlformats.org/drawingml/2006/main">
                  <a:graphicData uri="http://schemas.microsoft.com/office/word/2010/wordprocessingShape">
                    <wps:wsp>
                      <wps:cNvSpPr/>
                      <wps:spPr>
                        <a:xfrm>
                          <a:off x="0" y="0"/>
                          <a:ext cx="3086280" cy="914400"/>
                        </a:xfrm>
                        <a:prstGeom prst="rect">
                          <a:avLst/>
                        </a:prstGeom>
                        <a:noFill/>
                        <a:ln>
                          <a:noFill/>
                        </a:ln>
                      </wps:spPr>
                      <wps:style>
                        <a:lnRef idx="0"/>
                        <a:fillRef idx="0"/>
                        <a:effectRef idx="0"/>
                        <a:fontRef idx="minor"/>
                      </wps:style>
                      <wps:txbx>
                        <w:txbxContent>
                          <w:p>
                            <w:pPr>
                              <w:pStyle w:val="FrameContents"/>
                              <w:jc w:val="center"/>
                              <w:rPr>
                                <w:b/>
                                <w:b/>
                                <w:bCs/>
                              </w:rPr>
                            </w:pPr>
                            <w:r>
                              <w:rPr>
                                <w:b/>
                                <w:bCs/>
                                <w:color w:val="00000A"/>
                              </w:rPr>
                              <w:t xml:space="preserve">  </w:t>
                            </w:r>
                            <w:r>
                              <w:rPr>
                                <w:b/>
                                <w:bCs/>
                                <w:color w:val="00000A"/>
                              </w:rPr>
                              <w:t xml:space="preserve">PAŠVALDĪBAS </w:t>
                            </w:r>
                          </w:p>
                          <w:p>
                            <w:pPr>
                              <w:pStyle w:val="FrameContents"/>
                              <w:jc w:val="center"/>
                              <w:rPr>
                                <w:b/>
                                <w:b/>
                                <w:bCs/>
                              </w:rPr>
                            </w:pPr>
                            <w:r>
                              <w:rPr>
                                <w:b/>
                                <w:bCs/>
                                <w:color w:val="00000A"/>
                              </w:rPr>
                              <w:t xml:space="preserve">SIA </w:t>
                            </w:r>
                          </w:p>
                          <w:p>
                            <w:pPr>
                              <w:pStyle w:val="FrameContents"/>
                              <w:jc w:val="center"/>
                              <w:rPr>
                                <w:b/>
                                <w:b/>
                                <w:bCs/>
                              </w:rPr>
                            </w:pPr>
                            <w:r>
                              <w:rPr>
                                <w:b/>
                                <w:bCs/>
                                <w:color w:val="00000A"/>
                              </w:rPr>
                              <w:t>“</w:t>
                            </w:r>
                            <w:r>
                              <w:rPr>
                                <w:b/>
                                <w:bCs/>
                                <w:color w:val="00000A"/>
                              </w:rPr>
                              <w:t xml:space="preserve">SADZĪVES PAKALPOJUMU </w:t>
                            </w:r>
                          </w:p>
                          <w:p>
                            <w:pPr>
                              <w:pStyle w:val="FrameContents"/>
                              <w:jc w:val="center"/>
                              <w:rPr>
                                <w:sz w:val="22"/>
                              </w:rPr>
                            </w:pPr>
                            <w:r>
                              <w:rPr>
                                <w:b/>
                                <w:bCs/>
                                <w:color w:val="00000A"/>
                              </w:rPr>
                              <w:t>KOMBINĀTS”</w:t>
                            </w:r>
                          </w:p>
                          <w:p>
                            <w:pPr>
                              <w:pStyle w:val="Heading1"/>
                              <w:numPr>
                                <w:ilvl w:val="0"/>
                                <w:numId w:val="2"/>
                              </w:numPr>
                              <w:rPr/>
                            </w:pPr>
                            <w:r>
                              <w:rPr/>
                            </w:r>
                          </w:p>
                        </w:txbxContent>
                      </wps:txbx>
                      <wps:bodyPr lIns="0" rIns="0" tIns="0" bIns="0">
                        <a:noAutofit/>
                      </wps:bodyPr>
                    </wps:wsp>
                  </a:graphicData>
                </a:graphic>
              </wp:anchor>
            </w:drawing>
          </mc:Choice>
          <mc:Fallback>
            <w:pict>
              <v:rect id="shape_0" ID="Text Box 3" stroked="f" style="position:absolute;margin-left:270pt;margin-top:-9pt;width:242.95pt;height:71.95pt">
                <w10:wrap type="square"/>
                <v:fill o:detectmouseclick="t" on="false"/>
                <v:stroke color="#3465a4" joinstyle="round" endcap="flat"/>
                <v:textbox>
                  <w:txbxContent>
                    <w:p>
                      <w:pPr>
                        <w:pStyle w:val="FrameContents"/>
                        <w:jc w:val="center"/>
                        <w:rPr>
                          <w:b/>
                          <w:b/>
                          <w:bCs/>
                        </w:rPr>
                      </w:pPr>
                      <w:r>
                        <w:rPr>
                          <w:b/>
                          <w:bCs/>
                          <w:color w:val="00000A"/>
                        </w:rPr>
                        <w:t xml:space="preserve">  </w:t>
                      </w:r>
                      <w:r>
                        <w:rPr>
                          <w:b/>
                          <w:bCs/>
                          <w:color w:val="00000A"/>
                        </w:rPr>
                        <w:t xml:space="preserve">PAŠVALDĪBAS </w:t>
                      </w:r>
                    </w:p>
                    <w:p>
                      <w:pPr>
                        <w:pStyle w:val="FrameContents"/>
                        <w:jc w:val="center"/>
                        <w:rPr>
                          <w:b/>
                          <w:b/>
                          <w:bCs/>
                        </w:rPr>
                      </w:pPr>
                      <w:r>
                        <w:rPr>
                          <w:b/>
                          <w:bCs/>
                          <w:color w:val="00000A"/>
                        </w:rPr>
                        <w:t xml:space="preserve">SIA </w:t>
                      </w:r>
                    </w:p>
                    <w:p>
                      <w:pPr>
                        <w:pStyle w:val="FrameContents"/>
                        <w:jc w:val="center"/>
                        <w:rPr>
                          <w:b/>
                          <w:b/>
                          <w:bCs/>
                        </w:rPr>
                      </w:pPr>
                      <w:r>
                        <w:rPr>
                          <w:b/>
                          <w:bCs/>
                          <w:color w:val="00000A"/>
                        </w:rPr>
                        <w:t>“</w:t>
                      </w:r>
                      <w:r>
                        <w:rPr>
                          <w:b/>
                          <w:bCs/>
                          <w:color w:val="00000A"/>
                        </w:rPr>
                        <w:t xml:space="preserve">SADZĪVES PAKALPOJUMU </w:t>
                      </w:r>
                    </w:p>
                    <w:p>
                      <w:pPr>
                        <w:pStyle w:val="FrameContents"/>
                        <w:jc w:val="center"/>
                        <w:rPr>
                          <w:sz w:val="22"/>
                        </w:rPr>
                      </w:pPr>
                      <w:r>
                        <w:rPr>
                          <w:b/>
                          <w:bCs/>
                          <w:color w:val="00000A"/>
                        </w:rPr>
                        <w:t>KOMBINĀTS”</w:t>
                      </w:r>
                    </w:p>
                    <w:p>
                      <w:pPr>
                        <w:pStyle w:val="Heading1"/>
                        <w:numPr>
                          <w:ilvl w:val="0"/>
                          <w:numId w:val="2"/>
                        </w:numPr>
                        <w:rPr/>
                      </w:pPr>
                      <w:r>
                        <w:rPr/>
                      </w:r>
                    </w:p>
                  </w:txbxContent>
                </v:textbox>
              </v:rect>
            </w:pict>
          </mc:Fallback>
        </mc:AlternateContent>
      </w:r>
    </w:p>
    <w:p>
      <w:pPr>
        <w:pStyle w:val="Normal"/>
        <w:rPr>
          <w:sz w:val="20"/>
        </w:rPr>
      </w:pPr>
      <w:r>
        <w:rPr>
          <w:sz w:val="20"/>
        </w:rPr>
        <mc:AlternateContent>
          <mc:Choice Requires="wps">
            <w:drawing>
              <wp:anchor behindDoc="0" distT="0" distB="0" distL="114935" distR="114935" simplePos="0" locked="0" layoutInCell="1" allowOverlap="1" relativeHeight="2">
                <wp:simplePos x="0" y="0"/>
                <wp:positionH relativeFrom="column">
                  <wp:posOffset>-801370</wp:posOffset>
                </wp:positionH>
                <wp:positionV relativeFrom="paragraph">
                  <wp:posOffset>88900</wp:posOffset>
                </wp:positionV>
                <wp:extent cx="7089775" cy="713740"/>
                <wp:effectExtent l="12065" t="7620" r="5715" b="13970"/>
                <wp:wrapNone/>
                <wp:docPr id="4" name="Text Box 2"/>
                <a:graphic xmlns:a="http://schemas.openxmlformats.org/drawingml/2006/main">
                  <a:graphicData uri="http://schemas.microsoft.com/office/word/2010/wordprocessingShape">
                    <wps:wsp>
                      <wps:cNvSpPr/>
                      <wps:spPr>
                        <a:xfrm>
                          <a:off x="0" y="0"/>
                          <a:ext cx="7089120" cy="713160"/>
                        </a:xfrm>
                        <a:prstGeom prst="rect">
                          <a:avLst/>
                        </a:prstGeom>
                        <a:solidFill>
                          <a:srgbClr val="ffffff"/>
                        </a:solidFill>
                        <a:ln w="6480">
                          <a:solidFill>
                            <a:srgbClr val="ffffff"/>
                          </a:solidFill>
                          <a:miter/>
                        </a:ln>
                      </wps:spPr>
                      <wps:style>
                        <a:lnRef idx="0"/>
                        <a:fillRef idx="0"/>
                        <a:effectRef idx="0"/>
                        <a:fontRef idx="minor"/>
                      </wps:style>
                      <wps:txbx>
                        <w:txbxContent>
                          <w:p>
                            <w:pPr>
                              <w:pStyle w:val="TextBody"/>
                              <w:pBdr>
                                <w:top w:val="single" w:sz="4" w:space="0" w:color="000001"/>
                                <w:bottom w:val="single" w:sz="4" w:space="0" w:color="000001"/>
                              </w:pBdr>
                              <w:jc w:val="center"/>
                              <w:rPr/>
                            </w:pPr>
                            <w:r>
                              <w:rPr/>
                              <w:t xml:space="preserve"> </w:t>
                            </w:r>
                          </w:p>
                          <w:p>
                            <w:pPr>
                              <w:pStyle w:val="TextBody"/>
                              <w:pBdr>
                                <w:top w:val="single" w:sz="4" w:space="0" w:color="000001"/>
                                <w:bottom w:val="single" w:sz="4" w:space="0" w:color="000001"/>
                              </w:pBdr>
                              <w:jc w:val="center"/>
                              <w:rPr/>
                            </w:pPr>
                            <w:r>
                              <w:rPr/>
                              <w:t>Reģ. Nr. 41503002428, Višķu iela 21 k, Daugavpils, LV-5410, tālr./fakss 654-24769, info.tālr. 277-97-277</w:t>
                            </w:r>
                          </w:p>
                          <w:p>
                            <w:pPr>
                              <w:pStyle w:val="TextBody"/>
                              <w:pBdr>
                                <w:top w:val="single" w:sz="4" w:space="0" w:color="000001"/>
                                <w:bottom w:val="single" w:sz="4" w:space="0" w:color="000001"/>
                              </w:pBdr>
                              <w:jc w:val="center"/>
                              <w:rPr/>
                            </w:pPr>
                            <w:r>
                              <w:rPr/>
                              <w:t xml:space="preserve"> </w:t>
                            </w:r>
                            <w:r>
                              <w:rPr/>
                              <w:t xml:space="preserve">e-pasts: </w:t>
                            </w:r>
                            <w:hyperlink r:id="rId3">
                              <w:r>
                                <w:rPr>
                                  <w:rStyle w:val="InternetLink"/>
                                </w:rPr>
                                <w:t>spkpsia@gmail.com</w:t>
                              </w:r>
                            </w:hyperlink>
                            <w:r>
                              <w:rPr/>
                              <w:t xml:space="preserve">, </w:t>
                            </w:r>
                            <w:hyperlink r:id="rId4">
                              <w:r>
                                <w:rPr>
                                  <w:rStyle w:val="InternetLink"/>
                                </w:rPr>
                                <w:t>info@sadzive.lv</w:t>
                              </w:r>
                            </w:hyperlink>
                            <w:r>
                              <w:rPr/>
                              <w:t xml:space="preserve">, </w:t>
                            </w:r>
                          </w:p>
                          <w:p>
                            <w:pPr>
                              <w:pStyle w:val="TextBody"/>
                              <w:pBdr>
                                <w:top w:val="single" w:sz="4" w:space="0" w:color="000001"/>
                                <w:bottom w:val="single" w:sz="4" w:space="0" w:color="000001"/>
                              </w:pBdr>
                              <w:jc w:val="center"/>
                              <w:rPr/>
                            </w:pPr>
                            <w:hyperlink r:id="rId5">
                              <w:r>
                                <w:rPr>
                                  <w:rStyle w:val="InternetLink"/>
                                </w:rPr>
                                <w:t>www.sadzive.lv</w:t>
                              </w:r>
                            </w:hyperlink>
                          </w:p>
                        </w:txbxContent>
                      </wps:txbx>
                      <wps:bodyPr lIns="94680" rIns="94680" tIns="48960" bIns="48960">
                        <a:noAutofit/>
                      </wps:bodyPr>
                    </wps:wsp>
                  </a:graphicData>
                </a:graphic>
              </wp:anchor>
            </w:drawing>
          </mc:Choice>
          <mc:Fallback>
            <w:pict>
              <v:rect id="shape_0" ID="Text Box 2" fillcolor="white" stroked="t" style="position:absolute;margin-left:-63.1pt;margin-top:7pt;width:558.15pt;height:56.1pt">
                <w10:wrap type="square"/>
                <v:fill o:detectmouseclick="t" type="solid" color2="black"/>
                <v:stroke color="white" weight="6480" joinstyle="miter" endcap="flat"/>
                <v:textbox>
                  <w:txbxContent>
                    <w:p>
                      <w:pPr>
                        <w:pStyle w:val="TextBody"/>
                        <w:pBdr>
                          <w:top w:val="single" w:sz="4" w:space="0" w:color="000001"/>
                          <w:bottom w:val="single" w:sz="4" w:space="0" w:color="000001"/>
                        </w:pBdr>
                        <w:jc w:val="center"/>
                        <w:rPr/>
                      </w:pPr>
                      <w:r>
                        <w:rPr/>
                        <w:t xml:space="preserve"> </w:t>
                      </w:r>
                    </w:p>
                    <w:p>
                      <w:pPr>
                        <w:pStyle w:val="TextBody"/>
                        <w:pBdr>
                          <w:top w:val="single" w:sz="4" w:space="0" w:color="000001"/>
                          <w:bottom w:val="single" w:sz="4" w:space="0" w:color="000001"/>
                        </w:pBdr>
                        <w:jc w:val="center"/>
                        <w:rPr/>
                      </w:pPr>
                      <w:r>
                        <w:rPr/>
                        <w:t>Reģ. Nr. 41503002428, Višķu iela 21 k, Daugavpils, LV-5410, tālr./fakss 654-24769, info.tālr. 277-97-277</w:t>
                      </w:r>
                    </w:p>
                    <w:p>
                      <w:pPr>
                        <w:pStyle w:val="TextBody"/>
                        <w:pBdr>
                          <w:top w:val="single" w:sz="4" w:space="0" w:color="000001"/>
                          <w:bottom w:val="single" w:sz="4" w:space="0" w:color="000001"/>
                        </w:pBdr>
                        <w:jc w:val="center"/>
                        <w:rPr/>
                      </w:pPr>
                      <w:r>
                        <w:rPr/>
                        <w:t xml:space="preserve"> </w:t>
                      </w:r>
                      <w:r>
                        <w:rPr/>
                        <w:t xml:space="preserve">e-pasts: </w:t>
                      </w:r>
                      <w:hyperlink r:id="rId6">
                        <w:r>
                          <w:rPr>
                            <w:rStyle w:val="InternetLink"/>
                          </w:rPr>
                          <w:t>spkpsia@gmail.com</w:t>
                        </w:r>
                      </w:hyperlink>
                      <w:r>
                        <w:rPr/>
                        <w:t xml:space="preserve">, </w:t>
                      </w:r>
                      <w:hyperlink r:id="rId7">
                        <w:r>
                          <w:rPr>
                            <w:rStyle w:val="InternetLink"/>
                          </w:rPr>
                          <w:t>info@sadzive.lv</w:t>
                        </w:r>
                      </w:hyperlink>
                      <w:r>
                        <w:rPr/>
                        <w:t xml:space="preserve">, </w:t>
                      </w:r>
                    </w:p>
                    <w:p>
                      <w:pPr>
                        <w:pStyle w:val="TextBody"/>
                        <w:pBdr>
                          <w:top w:val="single" w:sz="4" w:space="0" w:color="000001"/>
                          <w:bottom w:val="single" w:sz="4" w:space="0" w:color="000001"/>
                        </w:pBdr>
                        <w:jc w:val="center"/>
                        <w:rPr/>
                      </w:pPr>
                      <w:hyperlink r:id="rId8">
                        <w:r>
                          <w:rPr>
                            <w:rStyle w:val="InternetLink"/>
                          </w:rPr>
                          <w:t>www.sadzive.lv</w:t>
                        </w:r>
                      </w:hyperlink>
                    </w:p>
                  </w:txbxContent>
                </v:textbox>
              </v:rect>
            </w:pict>
          </mc:Fallback>
        </mc:AlternateContent>
      </w:r>
    </w:p>
    <w:p>
      <w:pPr>
        <w:pStyle w:val="Normal"/>
        <w:rPr/>
      </w:pPr>
      <w:r>
        <w:rPr/>
        <w:t xml:space="preserve">                </w:t>
      </w:r>
    </w:p>
    <w:p>
      <w:pPr>
        <w:pStyle w:val="Normal"/>
        <w:rPr/>
      </w:pPr>
      <w:r>
        <w:rPr/>
      </w:r>
    </w:p>
    <w:p>
      <w:pPr>
        <w:pStyle w:val="Normal"/>
        <w:rPr/>
      </w:pPr>
      <w:r>
        <w:rPr/>
      </w:r>
    </w:p>
    <w:p>
      <w:pPr>
        <w:pStyle w:val="Normal"/>
        <w:rPr/>
      </w:pPr>
      <w:r>
        <w:rPr/>
      </w:r>
    </w:p>
    <w:p>
      <w:pPr>
        <w:pStyle w:val="Normal"/>
        <w:jc w:val="center"/>
        <w:textAlignment w:val="baseline"/>
        <w:rPr>
          <w:lang w:eastAsia="en-US"/>
        </w:rPr>
      </w:pPr>
      <w:r>
        <w:rPr>
          <w:lang w:eastAsia="en-US"/>
        </w:rPr>
      </w:r>
    </w:p>
    <w:p>
      <w:pPr>
        <w:pStyle w:val="Normal"/>
        <w:keepNext/>
        <w:numPr>
          <w:ilvl w:val="0"/>
          <w:numId w:val="0"/>
        </w:numPr>
        <w:jc w:val="center"/>
        <w:outlineLvl w:val="1"/>
        <w:rPr/>
      </w:pPr>
      <w:r>
        <w:rPr/>
        <w:t>Daugavpilī</w:t>
      </w:r>
    </w:p>
    <w:p>
      <w:pPr>
        <w:pStyle w:val="Normal"/>
        <w:suppressAutoHyphens w:val="false"/>
        <w:rPr>
          <w:sz w:val="22"/>
          <w:szCs w:val="22"/>
          <w:lang w:eastAsia="ru-RU"/>
        </w:rPr>
      </w:pPr>
      <w:r>
        <w:rPr>
          <w:sz w:val="22"/>
          <w:szCs w:val="22"/>
          <w:lang w:eastAsia="ru-RU"/>
        </w:rPr>
        <w:t xml:space="preserve">       </w:t>
      </w:r>
    </w:p>
    <w:p>
      <w:pPr>
        <w:pStyle w:val="Normal"/>
        <w:suppressAutoHyphens w:val="false"/>
        <w:rPr/>
      </w:pPr>
      <w:r>
        <w:rPr>
          <w:b/>
          <w:sz w:val="22"/>
          <w:szCs w:val="22"/>
          <w:lang w:eastAsia="ru-RU"/>
        </w:rPr>
        <w:t>2</w:t>
      </w:r>
      <w:r>
        <w:rPr>
          <w:b/>
          <w:sz w:val="22"/>
          <w:szCs w:val="22"/>
          <w:lang w:eastAsia="ru-RU"/>
        </w:rPr>
        <w:t>7</w:t>
      </w:r>
      <w:r>
        <w:rPr>
          <w:b/>
          <w:sz w:val="22"/>
          <w:szCs w:val="22"/>
          <w:lang w:eastAsia="ru-RU"/>
        </w:rPr>
        <w:t xml:space="preserve">.02.2019. </w:t>
      </w:r>
    </w:p>
    <w:p>
      <w:pPr>
        <w:pStyle w:val="Normal"/>
        <w:suppressAutoHyphens w:val="false"/>
        <w:rPr>
          <w:sz w:val="22"/>
          <w:szCs w:val="22"/>
          <w:lang w:eastAsia="ru-RU"/>
        </w:rPr>
      </w:pPr>
      <w:r>
        <w:rPr>
          <w:sz w:val="22"/>
          <w:szCs w:val="22"/>
          <w:lang w:eastAsia="ru-RU"/>
        </w:rPr>
      </w:r>
    </w:p>
    <w:p>
      <w:pPr>
        <w:pStyle w:val="Normal"/>
        <w:suppressAutoHyphens w:val="false"/>
        <w:rPr>
          <w:b/>
          <w:b/>
          <w:sz w:val="22"/>
          <w:szCs w:val="22"/>
          <w:lang w:eastAsia="ru-RU"/>
        </w:rPr>
      </w:pPr>
      <w:r>
        <w:rPr>
          <w:b/>
          <w:sz w:val="22"/>
          <w:szCs w:val="22"/>
          <w:lang w:eastAsia="ru-RU"/>
        </w:rPr>
        <w:t>UZAICINĀJUMS</w:t>
        <w:br/>
        <w:t>iesniegt piedāvājumu</w:t>
      </w:r>
    </w:p>
    <w:p>
      <w:pPr>
        <w:pStyle w:val="Normal"/>
        <w:suppressAutoHyphens w:val="false"/>
        <w:rPr>
          <w:b/>
          <w:b/>
          <w:sz w:val="22"/>
          <w:szCs w:val="22"/>
          <w:lang w:eastAsia="ru-RU"/>
        </w:rPr>
      </w:pPr>
      <w:r>
        <w:rPr>
          <w:b/>
          <w:sz w:val="22"/>
          <w:szCs w:val="22"/>
          <w:lang w:eastAsia="ru-RU"/>
        </w:rPr>
      </w:r>
    </w:p>
    <w:p>
      <w:pPr>
        <w:pStyle w:val="Normal"/>
        <w:suppressAutoHyphens w:val="false"/>
        <w:rPr>
          <w:b/>
          <w:b/>
          <w:sz w:val="22"/>
          <w:szCs w:val="22"/>
          <w:lang w:eastAsia="ru-RU"/>
        </w:rPr>
      </w:pPr>
      <w:r>
        <w:rPr>
          <w:b/>
          <w:sz w:val="22"/>
          <w:szCs w:val="22"/>
          <w:lang w:eastAsia="ru-RU"/>
        </w:rPr>
        <w:t>1.Pasūtītājs.</w:t>
      </w:r>
    </w:p>
    <w:p>
      <w:pPr>
        <w:pStyle w:val="Normal"/>
        <w:suppressAutoHyphens w:val="false"/>
        <w:rPr>
          <w:b/>
          <w:b/>
          <w:sz w:val="22"/>
          <w:szCs w:val="22"/>
          <w:lang w:eastAsia="ru-RU"/>
        </w:rPr>
      </w:pPr>
      <w:r>
        <w:rPr>
          <w:b/>
          <w:sz w:val="22"/>
          <w:szCs w:val="22"/>
          <w:lang w:eastAsia="ru-RU"/>
        </w:rPr>
        <w:t>Pašvaldības SIA “Sadzīves pakalpojumu kombināts”</w:t>
      </w:r>
    </w:p>
    <w:p>
      <w:pPr>
        <w:pStyle w:val="Normal"/>
        <w:suppressAutoHyphens w:val="false"/>
        <w:rPr>
          <w:sz w:val="22"/>
          <w:szCs w:val="22"/>
          <w:lang w:eastAsia="ru-RU"/>
        </w:rPr>
      </w:pPr>
      <w:r>
        <w:rPr>
          <w:sz w:val="22"/>
          <w:szCs w:val="22"/>
          <w:lang w:eastAsia="ru-RU"/>
        </w:rPr>
        <w:t>Višķu iela 21 K, Daugavpilī, LV-5410</w:t>
      </w:r>
    </w:p>
    <w:p>
      <w:pPr>
        <w:pStyle w:val="Normal"/>
        <w:suppressAutoHyphens w:val="false"/>
        <w:rPr>
          <w:sz w:val="22"/>
          <w:szCs w:val="22"/>
          <w:lang w:eastAsia="ru-RU"/>
        </w:rPr>
      </w:pPr>
      <w:r>
        <w:rPr>
          <w:sz w:val="22"/>
          <w:szCs w:val="22"/>
          <w:lang w:eastAsia="ru-RU"/>
        </w:rPr>
        <w:t>Tālr.Nr.:65424769</w:t>
      </w:r>
    </w:p>
    <w:p>
      <w:pPr>
        <w:pStyle w:val="Normal"/>
        <w:suppressAutoHyphens w:val="false"/>
        <w:rPr>
          <w:sz w:val="22"/>
          <w:szCs w:val="22"/>
          <w:lang w:eastAsia="ru-RU"/>
        </w:rPr>
      </w:pPr>
      <w:r>
        <w:rPr>
          <w:sz w:val="22"/>
          <w:szCs w:val="22"/>
          <w:lang w:eastAsia="ru-RU"/>
        </w:rPr>
        <w:t>Fakss:65424769</w:t>
      </w:r>
    </w:p>
    <w:p>
      <w:pPr>
        <w:pStyle w:val="Normal"/>
        <w:suppressAutoHyphens w:val="false"/>
        <w:rPr/>
      </w:pPr>
      <w:r>
        <w:rPr>
          <w:sz w:val="22"/>
          <w:szCs w:val="22"/>
          <w:lang w:eastAsia="ru-RU"/>
        </w:rPr>
        <w:t xml:space="preserve">e-pasts: </w:t>
      </w:r>
      <w:hyperlink r:id="rId9">
        <w:r>
          <w:rPr>
            <w:rStyle w:val="InternetLink"/>
            <w:sz w:val="22"/>
            <w:szCs w:val="22"/>
            <w:lang w:eastAsia="ru-RU"/>
          </w:rPr>
          <w:t>spkpsia@gmail.com</w:t>
        </w:r>
      </w:hyperlink>
    </w:p>
    <w:p>
      <w:pPr>
        <w:pStyle w:val="Normal"/>
        <w:suppressAutoHyphens w:val="false"/>
        <w:rPr/>
      </w:pPr>
      <w:r>
        <w:rPr>
          <w:sz w:val="22"/>
          <w:szCs w:val="22"/>
          <w:lang w:eastAsia="ru-RU"/>
        </w:rPr>
        <w:t xml:space="preserve">mājas lapa: </w:t>
      </w:r>
      <w:hyperlink r:id="rId10">
        <w:r>
          <w:rPr>
            <w:rStyle w:val="InternetLink"/>
            <w:sz w:val="22"/>
            <w:szCs w:val="22"/>
            <w:lang w:eastAsia="ru-RU"/>
          </w:rPr>
          <w:t>www.sadzive.lv</w:t>
        </w:r>
      </w:hyperlink>
    </w:p>
    <w:p>
      <w:pPr>
        <w:pStyle w:val="Normal"/>
        <w:suppressAutoHyphens w:val="false"/>
        <w:rPr>
          <w:sz w:val="22"/>
          <w:szCs w:val="22"/>
          <w:lang w:eastAsia="ru-RU"/>
        </w:rPr>
      </w:pPr>
      <w:r>
        <w:rPr>
          <w:sz w:val="22"/>
          <w:szCs w:val="22"/>
          <w:lang w:eastAsia="ru-RU"/>
        </w:rPr>
        <w:t>kontaktpersona: Ludmila Sokolovska, tālr.Nr.22001171</w:t>
      </w:r>
    </w:p>
    <w:p>
      <w:pPr>
        <w:pStyle w:val="Normal"/>
        <w:suppressAutoHyphens w:val="false"/>
        <w:jc w:val="center"/>
        <w:rPr>
          <w:b/>
          <w:b/>
          <w:sz w:val="22"/>
          <w:szCs w:val="22"/>
          <w:lang w:eastAsia="ru-RU"/>
        </w:rPr>
      </w:pPr>
      <w:r>
        <w:rPr>
          <w:b/>
          <w:sz w:val="22"/>
          <w:szCs w:val="22"/>
          <w:lang w:eastAsia="ru-RU"/>
        </w:rPr>
      </w:r>
    </w:p>
    <w:p>
      <w:pPr>
        <w:pStyle w:val="Normal"/>
        <w:suppressAutoHyphens w:val="false"/>
        <w:jc w:val="center"/>
        <w:rPr>
          <w:b/>
          <w:b/>
          <w:sz w:val="22"/>
          <w:szCs w:val="22"/>
          <w:lang w:eastAsia="ru-RU"/>
        </w:rPr>
      </w:pPr>
      <w:r>
        <w:rPr>
          <w:b/>
          <w:sz w:val="22"/>
          <w:szCs w:val="22"/>
          <w:lang w:eastAsia="ru-RU"/>
        </w:rPr>
        <w:t>Publisko iepirkumu likumā nereglamentētais iepirkums</w:t>
      </w:r>
    </w:p>
    <w:p>
      <w:pPr>
        <w:pStyle w:val="Normal"/>
        <w:suppressAutoHyphens w:val="false"/>
        <w:jc w:val="center"/>
        <w:rPr/>
      </w:pPr>
      <w:r>
        <w:rPr>
          <w:b/>
          <w:sz w:val="22"/>
          <w:szCs w:val="22"/>
          <w:lang w:eastAsia="ru-RU"/>
        </w:rPr>
        <w:t xml:space="preserve">“ </w:t>
      </w:r>
      <w:r>
        <w:rPr>
          <w:b/>
          <w:sz w:val="22"/>
          <w:szCs w:val="22"/>
          <w:lang w:eastAsia="ru-RU"/>
        </w:rPr>
        <w:t>Siltummezglu iekārtu tehnikā un profilaktiskā apkalpošana un m</w:t>
      </w:r>
      <w:r>
        <w:rPr>
          <w:rFonts w:eastAsia="Times New Roman" w:cs="Times New Roman"/>
          <w:b/>
          <w:bCs/>
          <w:color w:val="00000A"/>
          <w:sz w:val="22"/>
          <w:szCs w:val="22"/>
          <w:lang w:val="lv-LV" w:eastAsia="ru-RU" w:bidi="ar-SA"/>
        </w:rPr>
        <w:t>ehāniskās ventilācijas sistēmu tehniskā apkope</w:t>
      </w:r>
      <w:r>
        <w:rPr>
          <w:b/>
          <w:sz w:val="22"/>
          <w:szCs w:val="22"/>
          <w:lang w:eastAsia="ru-RU"/>
        </w:rPr>
        <w:t>”</w:t>
      </w:r>
    </w:p>
    <w:p>
      <w:pPr>
        <w:pStyle w:val="Normal"/>
        <w:suppressAutoHyphens w:val="false"/>
        <w:jc w:val="center"/>
        <w:rPr/>
      </w:pPr>
      <w:r>
        <w:rPr>
          <w:b/>
          <w:sz w:val="22"/>
          <w:szCs w:val="22"/>
          <w:lang w:eastAsia="ru-RU"/>
        </w:rPr>
        <w:t>Iepirkuma identifikācijas Nr.SPK2020/4</w:t>
      </w:r>
    </w:p>
    <w:p>
      <w:pPr>
        <w:pStyle w:val="Normal"/>
        <w:suppressAutoHyphens w:val="false"/>
        <w:jc w:val="center"/>
        <w:rPr>
          <w:b/>
          <w:b/>
          <w:sz w:val="22"/>
          <w:szCs w:val="22"/>
          <w:lang w:eastAsia="ru-RU"/>
        </w:rPr>
      </w:pPr>
      <w:r>
        <w:rPr>
          <w:b/>
          <w:sz w:val="22"/>
          <w:szCs w:val="22"/>
          <w:lang w:eastAsia="ru-RU"/>
        </w:rPr>
      </w:r>
    </w:p>
    <w:p>
      <w:pPr>
        <w:pStyle w:val="Normal"/>
        <w:suppressAutoHyphens w:val="false"/>
        <w:rPr>
          <w:b/>
          <w:b/>
          <w:sz w:val="22"/>
          <w:szCs w:val="22"/>
          <w:lang w:eastAsia="ru-RU"/>
        </w:rPr>
      </w:pPr>
      <w:r>
        <w:rPr>
          <w:b/>
          <w:sz w:val="22"/>
          <w:szCs w:val="22"/>
          <w:lang w:eastAsia="ru-RU"/>
        </w:rPr>
        <w:t>2.Iepirkuma priekšmeta apraksts:</w:t>
      </w:r>
    </w:p>
    <w:p>
      <w:pPr>
        <w:pStyle w:val="Normal"/>
        <w:suppressAutoHyphens w:val="false"/>
        <w:jc w:val="both"/>
        <w:rPr/>
      </w:pPr>
      <w:r>
        <w:rPr>
          <w:b/>
          <w:sz w:val="22"/>
          <w:szCs w:val="22"/>
          <w:lang w:eastAsia="ru-RU"/>
        </w:rPr>
        <w:t xml:space="preserve">2.1. </w:t>
      </w:r>
      <w:r>
        <w:rPr>
          <w:rFonts w:eastAsia="Times New Roman" w:cs="Times New Roman"/>
          <w:color w:val="00000A"/>
          <w:sz w:val="22"/>
          <w:szCs w:val="22"/>
          <w:lang w:val="lv-LV" w:eastAsia="ru-RU" w:bidi="ar-SA"/>
        </w:rPr>
        <w:t xml:space="preserve">Siltummezglu iekārtu tehnikā un profilaktiskā apkalpošana </w:t>
      </w:r>
      <w:r>
        <w:rPr>
          <w:rFonts w:eastAsia="Times New Roman" w:cs="Times New Roman"/>
          <w:b w:val="false"/>
          <w:bCs w:val="false"/>
          <w:color w:val="00000A"/>
          <w:sz w:val="22"/>
          <w:szCs w:val="22"/>
          <w:lang w:val="lv-LV" w:eastAsia="ru-RU" w:bidi="ar-SA"/>
        </w:rPr>
        <w:t>un</w:t>
      </w:r>
      <w:r>
        <w:rPr>
          <w:rFonts w:eastAsia="Times New Roman" w:cs="Times New Roman"/>
          <w:color w:val="00000A"/>
          <w:sz w:val="22"/>
          <w:szCs w:val="22"/>
          <w:lang w:val="lv-LV" w:eastAsia="ru-RU" w:bidi="ar-SA"/>
        </w:rPr>
        <w:t>, saskaņā ar pielikumu Nr.1.</w:t>
      </w:r>
    </w:p>
    <w:p>
      <w:pPr>
        <w:pStyle w:val="Normal"/>
        <w:suppressAutoHyphens w:val="false"/>
        <w:jc w:val="both"/>
        <w:rPr/>
      </w:pPr>
      <w:r>
        <w:rPr>
          <w:rFonts w:eastAsia="Times New Roman" w:cs="Times New Roman"/>
          <w:b/>
          <w:bCs/>
          <w:color w:val="00000A"/>
          <w:sz w:val="22"/>
          <w:szCs w:val="22"/>
          <w:lang w:val="lv-LV" w:eastAsia="ru-RU" w:bidi="ar-SA"/>
        </w:rPr>
        <w:t>2.2.</w:t>
      </w:r>
      <w:r>
        <w:rPr>
          <w:rFonts w:eastAsia="Times New Roman" w:cs="Times New Roman"/>
          <w:color w:val="00000A"/>
          <w:sz w:val="22"/>
          <w:szCs w:val="22"/>
          <w:lang w:val="lv-LV" w:eastAsia="ru-RU" w:bidi="ar-SA"/>
        </w:rPr>
        <w:t xml:space="preserve"> M</w:t>
      </w:r>
      <w:r>
        <w:rPr>
          <w:rFonts w:eastAsia="Times New Roman" w:cs="Times New Roman"/>
          <w:b w:val="false"/>
          <w:bCs w:val="false"/>
          <w:color w:val="00000A"/>
          <w:sz w:val="22"/>
          <w:szCs w:val="22"/>
          <w:lang w:val="lv-LV" w:eastAsia="ru-RU" w:bidi="ar-SA"/>
        </w:rPr>
        <w:t>ehāniskās ventilācijas sistēmu tehniskā apkope, saskaņā ar pielikumu Nr.2.</w:t>
      </w:r>
    </w:p>
    <w:p>
      <w:pPr>
        <w:pStyle w:val="Normal"/>
        <w:suppressAutoHyphens w:val="false"/>
        <w:jc w:val="both"/>
        <w:rPr>
          <w:sz w:val="22"/>
          <w:szCs w:val="22"/>
          <w:lang w:eastAsia="ru-RU"/>
        </w:rPr>
      </w:pPr>
      <w:r>
        <w:rPr>
          <w:b/>
          <w:sz w:val="22"/>
          <w:szCs w:val="22"/>
          <w:lang w:eastAsia="ru-RU"/>
        </w:rPr>
        <w:t>3.Piedāvājumu var iesniegt:</w:t>
      </w:r>
      <w:r>
        <w:rPr>
          <w:sz w:val="22"/>
          <w:szCs w:val="22"/>
          <w:lang w:eastAsia="ru-RU"/>
        </w:rPr>
        <w:t xml:space="preserve"> </w:t>
      </w:r>
    </w:p>
    <w:p>
      <w:pPr>
        <w:pStyle w:val="Normal"/>
        <w:suppressAutoHyphens w:val="false"/>
        <w:jc w:val="both"/>
        <w:rPr>
          <w:sz w:val="22"/>
          <w:szCs w:val="22"/>
          <w:lang w:eastAsia="ru-RU"/>
        </w:rPr>
      </w:pPr>
      <w:r>
        <w:rPr>
          <w:b/>
          <w:sz w:val="22"/>
          <w:szCs w:val="22"/>
          <w:lang w:eastAsia="ru-RU"/>
        </w:rPr>
        <w:t>3.1.</w:t>
      </w:r>
      <w:r>
        <w:rPr>
          <w:sz w:val="22"/>
          <w:szCs w:val="22"/>
          <w:lang w:eastAsia="ru-RU"/>
        </w:rPr>
        <w:t xml:space="preserve"> Personīgi, vai pa pastu Višķu ielā 21K, Daugavpilī ( 2.stāvā, kabinētā  Nr.1), </w:t>
      </w:r>
    </w:p>
    <w:p>
      <w:pPr>
        <w:pStyle w:val="Normal"/>
        <w:suppressAutoHyphens w:val="false"/>
        <w:jc w:val="both"/>
        <w:rPr/>
      </w:pPr>
      <w:r>
        <w:rPr>
          <w:b/>
          <w:sz w:val="22"/>
          <w:szCs w:val="22"/>
          <w:lang w:eastAsia="ru-RU"/>
        </w:rPr>
        <w:t>3.2.</w:t>
      </w:r>
      <w:r>
        <w:rPr>
          <w:sz w:val="22"/>
          <w:szCs w:val="22"/>
          <w:lang w:eastAsia="ru-RU"/>
        </w:rPr>
        <w:t xml:space="preserve"> pa e-pastu: </w:t>
      </w:r>
      <w:hyperlink r:id="rId11">
        <w:r>
          <w:rPr>
            <w:rStyle w:val="InternetLink"/>
            <w:sz w:val="22"/>
            <w:szCs w:val="22"/>
            <w:lang w:eastAsia="ru-RU"/>
          </w:rPr>
          <w:t>spkpsia@gmail.com</w:t>
        </w:r>
      </w:hyperlink>
      <w:r>
        <w:rPr>
          <w:sz w:val="22"/>
          <w:szCs w:val="22"/>
          <w:lang w:eastAsia="ru-RU"/>
        </w:rPr>
        <w:t xml:space="preserve"> (ieskenētā veidā vai parakstītu ar drošo elektronisku parakstu),</w:t>
      </w:r>
    </w:p>
    <w:p>
      <w:pPr>
        <w:pStyle w:val="Normal"/>
        <w:suppressAutoHyphens w:val="false"/>
        <w:jc w:val="both"/>
        <w:rPr/>
      </w:pPr>
      <w:r>
        <w:rPr>
          <w:b/>
          <w:sz w:val="22"/>
          <w:szCs w:val="22"/>
          <w:lang w:eastAsia="ru-RU"/>
        </w:rPr>
        <w:t>3.3.</w:t>
      </w:r>
      <w:r>
        <w:rPr>
          <w:sz w:val="22"/>
          <w:szCs w:val="22"/>
          <w:lang w:eastAsia="ru-RU"/>
        </w:rPr>
        <w:t xml:space="preserve"> piedāvājuma iesniegšanas termiņs līdz </w:t>
      </w:r>
      <w:r>
        <w:rPr>
          <w:b/>
          <w:sz w:val="22"/>
          <w:szCs w:val="22"/>
          <w:lang w:eastAsia="ru-RU"/>
        </w:rPr>
        <w:t xml:space="preserve">2020.gada </w:t>
      </w:r>
      <w:r>
        <w:rPr>
          <w:b/>
          <w:sz w:val="22"/>
          <w:szCs w:val="22"/>
          <w:lang w:eastAsia="ru-RU"/>
        </w:rPr>
        <w:t>9</w:t>
      </w:r>
      <w:r>
        <w:rPr>
          <w:b/>
          <w:sz w:val="22"/>
          <w:szCs w:val="22"/>
          <w:lang w:eastAsia="ru-RU"/>
        </w:rPr>
        <w:t>.marta plkst.11:00</w:t>
      </w:r>
      <w:r>
        <w:rPr>
          <w:sz w:val="22"/>
          <w:szCs w:val="22"/>
          <w:lang w:eastAsia="ru-RU"/>
        </w:rPr>
        <w:t>.</w:t>
      </w:r>
    </w:p>
    <w:p>
      <w:pPr>
        <w:pStyle w:val="Normal"/>
        <w:suppressAutoHyphens w:val="false"/>
        <w:jc w:val="both"/>
        <w:rPr>
          <w:sz w:val="22"/>
          <w:szCs w:val="22"/>
          <w:lang w:eastAsia="ru-RU"/>
        </w:rPr>
      </w:pPr>
      <w:r>
        <w:rPr>
          <w:b/>
          <w:sz w:val="22"/>
          <w:szCs w:val="22"/>
          <w:lang w:eastAsia="ru-RU"/>
        </w:rPr>
        <w:t>4</w:t>
      </w:r>
      <w:r>
        <w:rPr>
          <w:sz w:val="22"/>
          <w:szCs w:val="22"/>
          <w:lang w:eastAsia="ru-RU"/>
        </w:rPr>
        <w:t>.</w:t>
      </w:r>
      <w:r>
        <w:rPr>
          <w:b/>
          <w:sz w:val="22"/>
          <w:szCs w:val="22"/>
          <w:lang w:eastAsia="ru-RU"/>
        </w:rPr>
        <w:t>Paredzamā līguma izpildes termiņš:</w:t>
      </w:r>
      <w:r>
        <w:rPr>
          <w:sz w:val="22"/>
          <w:szCs w:val="22"/>
          <w:lang w:eastAsia="ru-RU"/>
        </w:rPr>
        <w:t xml:space="preserve"> 1 (viens) gads no līguma noslēgšanas brīža. </w:t>
      </w:r>
    </w:p>
    <w:p>
      <w:pPr>
        <w:pStyle w:val="Normal"/>
        <w:suppressAutoHyphens w:val="false"/>
        <w:jc w:val="both"/>
        <w:rPr>
          <w:b/>
          <w:b/>
          <w:sz w:val="22"/>
          <w:szCs w:val="22"/>
          <w:lang w:eastAsia="ru-RU"/>
        </w:rPr>
      </w:pPr>
      <w:r>
        <w:rPr>
          <w:b/>
          <w:sz w:val="22"/>
          <w:szCs w:val="22"/>
          <w:lang w:eastAsia="ru-RU"/>
        </w:rPr>
        <w:t>5.Piedāvājumā jāiekļauj:</w:t>
      </w:r>
    </w:p>
    <w:p>
      <w:pPr>
        <w:pStyle w:val="Normal"/>
        <w:suppressAutoHyphens w:val="false"/>
        <w:jc w:val="both"/>
        <w:rPr>
          <w:sz w:val="22"/>
          <w:szCs w:val="22"/>
          <w:lang w:eastAsia="ru-RU"/>
        </w:rPr>
      </w:pPr>
      <w:r>
        <w:rPr>
          <w:b/>
          <w:sz w:val="22"/>
          <w:szCs w:val="22"/>
          <w:lang w:eastAsia="ru-RU"/>
        </w:rPr>
        <w:t>5.1.</w:t>
      </w:r>
      <w:r>
        <w:rPr>
          <w:sz w:val="22"/>
          <w:szCs w:val="22"/>
          <w:lang w:eastAsia="ru-RU"/>
        </w:rPr>
        <w:t>pretendenta rakstisks iesniegums par dalību iepirkumu procedūrā, kas sniedz īsas ziņas par pretendentu (pretendenta nosaukums, juridiskā adrese, reģistrācijas Nr., kontaktpersonas vārds, uzvārds, tālrunis, fakss, e-pasts);</w:t>
      </w:r>
    </w:p>
    <w:p>
      <w:pPr>
        <w:pStyle w:val="Normal"/>
        <w:suppressAutoHyphens w:val="false"/>
        <w:rPr>
          <w:sz w:val="22"/>
          <w:szCs w:val="22"/>
          <w:lang w:eastAsia="ru-RU"/>
        </w:rPr>
      </w:pPr>
      <w:r>
        <w:rPr>
          <w:b/>
          <w:sz w:val="22"/>
          <w:szCs w:val="22"/>
          <w:lang w:eastAsia="ru-RU"/>
        </w:rPr>
        <w:t>5.2.</w:t>
      </w:r>
      <w:r>
        <w:rPr>
          <w:sz w:val="22"/>
          <w:szCs w:val="22"/>
          <w:lang w:eastAsia="ru-RU"/>
        </w:rPr>
        <w:t>pretendents iesniedz:</w:t>
      </w:r>
    </w:p>
    <w:p>
      <w:pPr>
        <w:pStyle w:val="Normal"/>
        <w:suppressAutoHyphens w:val="false"/>
        <w:jc w:val="both"/>
        <w:rPr>
          <w:sz w:val="22"/>
          <w:szCs w:val="22"/>
          <w:lang w:eastAsia="ru-RU"/>
        </w:rPr>
      </w:pPr>
      <w:r>
        <w:rPr>
          <w:b/>
          <w:sz w:val="22"/>
          <w:szCs w:val="22"/>
          <w:lang w:eastAsia="ru-RU"/>
        </w:rPr>
        <w:t>5.2.1.</w:t>
      </w:r>
      <w:r>
        <w:rPr>
          <w:sz w:val="22"/>
          <w:szCs w:val="22"/>
          <w:lang w:eastAsia="ru-RU"/>
        </w:rPr>
        <w:t xml:space="preserve">cik uzņēmumā ir nodarbināti atbilstoši sertificēti un diplomēti speciālisti šādās jomās: </w:t>
      </w:r>
    </w:p>
    <w:p>
      <w:pPr>
        <w:pStyle w:val="Normal"/>
        <w:suppressAutoHyphens w:val="false"/>
        <w:jc w:val="both"/>
        <w:rPr>
          <w:sz w:val="22"/>
          <w:szCs w:val="22"/>
          <w:lang w:eastAsia="ru-RU"/>
        </w:rPr>
      </w:pPr>
      <w:r>
        <w:rPr>
          <w:b/>
          <w:sz w:val="22"/>
          <w:szCs w:val="22"/>
          <w:lang w:eastAsia="ru-RU"/>
        </w:rPr>
        <w:t>5.2.1.1.</w:t>
      </w:r>
      <w:r>
        <w:rPr>
          <w:sz w:val="22"/>
          <w:szCs w:val="22"/>
          <w:lang w:eastAsia="ru-RU"/>
        </w:rPr>
        <w:t>siltumapgādes un ventilācijas būvmontāžas darbu vadīšanā un būvuzraudzībā;</w:t>
      </w:r>
    </w:p>
    <w:p>
      <w:pPr>
        <w:pStyle w:val="Normal"/>
        <w:suppressAutoHyphens w:val="false"/>
        <w:jc w:val="both"/>
        <w:rPr>
          <w:sz w:val="22"/>
          <w:szCs w:val="22"/>
          <w:lang w:eastAsia="ru-RU"/>
        </w:rPr>
      </w:pPr>
      <w:r>
        <w:rPr>
          <w:b/>
          <w:sz w:val="22"/>
          <w:szCs w:val="22"/>
          <w:lang w:eastAsia="ru-RU"/>
        </w:rPr>
        <w:t>5.2.1.2.</w:t>
      </w:r>
      <w:r>
        <w:rPr>
          <w:sz w:val="22"/>
          <w:szCs w:val="22"/>
          <w:lang w:eastAsia="ru-RU"/>
        </w:rPr>
        <w:t>ūdens apgādes un kanalizācijas sitēmu būvmontāžas darbu  vadīšanā un būvuzraudzībā;</w:t>
      </w:r>
    </w:p>
    <w:p>
      <w:pPr>
        <w:pStyle w:val="Normal"/>
        <w:suppressAutoHyphens w:val="false"/>
        <w:jc w:val="both"/>
        <w:rPr>
          <w:sz w:val="22"/>
          <w:szCs w:val="22"/>
          <w:lang w:eastAsia="ru-RU"/>
        </w:rPr>
      </w:pPr>
      <w:r>
        <w:rPr>
          <w:b/>
          <w:sz w:val="22"/>
          <w:szCs w:val="22"/>
          <w:lang w:eastAsia="ru-RU"/>
        </w:rPr>
        <w:t>5.2.1.3.</w:t>
      </w:r>
      <w:r>
        <w:rPr>
          <w:sz w:val="22"/>
          <w:szCs w:val="22"/>
          <w:lang w:eastAsia="ru-RU"/>
        </w:rPr>
        <w:t>Ecco Energo granulu apkures sistēmu ekspluatācijā un montāžā;</w:t>
      </w:r>
    </w:p>
    <w:p>
      <w:pPr>
        <w:pStyle w:val="Normal"/>
        <w:suppressAutoHyphens w:val="false"/>
        <w:jc w:val="both"/>
        <w:rPr>
          <w:sz w:val="22"/>
          <w:szCs w:val="22"/>
          <w:lang w:eastAsia="ru-RU"/>
        </w:rPr>
      </w:pPr>
      <w:r>
        <w:rPr>
          <w:b/>
          <w:sz w:val="22"/>
          <w:szCs w:val="22"/>
          <w:lang w:eastAsia="ru-RU"/>
        </w:rPr>
        <w:t>5.2.2.</w:t>
      </w:r>
      <w:r>
        <w:rPr>
          <w:sz w:val="22"/>
          <w:szCs w:val="22"/>
          <w:lang w:eastAsia="ru-RU"/>
        </w:rPr>
        <w:t>Ugunsdrošības apmācības sertifikātu.</w:t>
      </w:r>
    </w:p>
    <w:p>
      <w:pPr>
        <w:pStyle w:val="Normal"/>
        <w:suppressAutoHyphens w:val="false"/>
        <w:jc w:val="both"/>
        <w:rPr>
          <w:sz w:val="22"/>
          <w:szCs w:val="22"/>
          <w:lang w:eastAsia="ru-RU"/>
        </w:rPr>
      </w:pPr>
      <w:r>
        <w:rPr>
          <w:b/>
          <w:sz w:val="22"/>
          <w:szCs w:val="22"/>
          <w:lang w:eastAsia="ru-RU"/>
        </w:rPr>
        <w:t>5.2.3.</w:t>
      </w:r>
      <w:r>
        <w:rPr>
          <w:sz w:val="22"/>
          <w:szCs w:val="22"/>
          <w:lang w:eastAsia="ru-RU"/>
        </w:rPr>
        <w:t xml:space="preserve">Latvijas elektroenerģētiķu un energobūvnieku asociācijas specializēta sertifikācijas centra sertifikātus: Elektroietaišu sertifikāts, Elektroietaišu tehnisko parametru mērīšana un pārbaude, Elektroietaišu izbūve.  </w:t>
      </w:r>
    </w:p>
    <w:p>
      <w:pPr>
        <w:pStyle w:val="Normal"/>
        <w:suppressAutoHyphens w:val="false"/>
        <w:jc w:val="both"/>
        <w:rPr>
          <w:b/>
          <w:b/>
          <w:sz w:val="22"/>
          <w:szCs w:val="22"/>
          <w:lang w:eastAsia="ru-RU"/>
        </w:rPr>
      </w:pPr>
      <w:r>
        <w:rPr>
          <w:b/>
          <w:sz w:val="22"/>
          <w:szCs w:val="22"/>
          <w:lang w:eastAsia="ru-RU"/>
        </w:rPr>
        <w:t>5.2.4.</w:t>
      </w:r>
      <w:r>
        <w:rPr>
          <w:sz w:val="22"/>
          <w:szCs w:val="22"/>
          <w:lang w:eastAsia="ru-RU"/>
        </w:rPr>
        <w:t>Finanšu piedāvājumā cena jānorāda euro bez PVN 21%. Cenā jāiekļauj visas izmaksas.</w:t>
      </w:r>
    </w:p>
    <w:p>
      <w:pPr>
        <w:pStyle w:val="Normal"/>
        <w:jc w:val="both"/>
        <w:rPr>
          <w:sz w:val="22"/>
          <w:szCs w:val="22"/>
          <w:lang w:eastAsia="ru-RU"/>
        </w:rPr>
      </w:pPr>
      <w:r>
        <w:rPr>
          <w:b/>
          <w:sz w:val="22"/>
          <w:szCs w:val="22"/>
          <w:lang w:eastAsia="ru-RU"/>
        </w:rPr>
        <w:t>6.Izvēles kritērijs:</w:t>
      </w:r>
      <w:r>
        <w:rPr>
          <w:sz w:val="22"/>
          <w:szCs w:val="22"/>
          <w:lang w:eastAsia="ru-RU"/>
        </w:rPr>
        <w:t xml:space="preserve"> finanšu piedāvājums ar viszemāko cenu .</w:t>
      </w:r>
    </w:p>
    <w:p>
      <w:pPr>
        <w:pStyle w:val="Normal"/>
        <w:jc w:val="both"/>
        <w:rPr/>
      </w:pPr>
      <w:r>
        <w:rPr>
          <w:b/>
          <w:sz w:val="22"/>
          <w:szCs w:val="22"/>
          <w:lang w:eastAsia="ru-RU"/>
        </w:rPr>
        <w:t xml:space="preserve">7.Informācija par rezultātiem:  </w:t>
      </w:r>
      <w:r>
        <w:rPr>
          <w:sz w:val="22"/>
          <w:szCs w:val="22"/>
          <w:lang w:eastAsia="ru-RU"/>
        </w:rPr>
        <w:t xml:space="preserve">Ar lēmumu var iepazīties mājas lapā: </w:t>
      </w:r>
      <w:hyperlink r:id="rId12">
        <w:r>
          <w:rPr>
            <w:rStyle w:val="InternetLink"/>
            <w:sz w:val="22"/>
            <w:szCs w:val="22"/>
            <w:lang w:eastAsia="ru-RU"/>
          </w:rPr>
          <w:t>www.sadzive.lv</w:t>
        </w:r>
      </w:hyperlink>
      <w:r>
        <w:rPr>
          <w:sz w:val="22"/>
          <w:szCs w:val="22"/>
          <w:u w:val="single"/>
          <w:lang w:eastAsia="ru-RU"/>
        </w:rPr>
        <w:t xml:space="preserve">. </w:t>
      </w:r>
    </w:p>
    <w:p>
      <w:pPr>
        <w:pStyle w:val="Normal"/>
        <w:jc w:val="both"/>
        <w:rPr>
          <w:sz w:val="22"/>
          <w:szCs w:val="22"/>
          <w:lang w:eastAsia="ru-RU"/>
        </w:rPr>
      </w:pPr>
      <w:r>
        <w:rPr>
          <w:sz w:val="22"/>
          <w:szCs w:val="22"/>
          <w:lang w:eastAsia="ru-RU"/>
        </w:rPr>
      </w:r>
    </w:p>
    <w:p>
      <w:pPr>
        <w:pStyle w:val="Normal"/>
        <w:rPr/>
      </w:pPr>
      <w:r>
        <w:rPr>
          <w:sz w:val="22"/>
          <w:szCs w:val="22"/>
          <w:lang w:eastAsia="ru-RU"/>
        </w:rPr>
        <w:t>Iepirkumu komisijas priekšsēdētājs</w:t>
        <w:tab/>
        <w:tab/>
        <w:tab/>
        <w:tab/>
        <w:tab/>
      </w:r>
      <w:r>
        <w:rPr>
          <w:sz w:val="22"/>
          <w:szCs w:val="22"/>
          <w:lang w:val="en-US" w:eastAsia="ru-RU"/>
        </w:rPr>
        <w:t>E</w:t>
      </w:r>
      <w:r>
        <w:rPr>
          <w:sz w:val="22"/>
          <w:szCs w:val="22"/>
          <w:lang w:eastAsia="ru-RU"/>
        </w:rPr>
        <w:t>.</w:t>
      </w:r>
      <w:r>
        <w:rPr>
          <w:sz w:val="22"/>
          <w:szCs w:val="22"/>
          <w:lang w:val="en-US" w:eastAsia="ru-RU"/>
        </w:rPr>
        <w:t>Tuk</w:t>
      </w:r>
      <w:r>
        <w:rPr>
          <w:sz w:val="22"/>
          <w:szCs w:val="22"/>
          <w:lang w:val="lv-LV" w:eastAsia="ru-RU"/>
        </w:rPr>
        <w:t>āne</w:t>
      </w:r>
      <w:r>
        <w:rPr>
          <w:sz w:val="22"/>
          <w:szCs w:val="22"/>
          <w:lang w:eastAsia="ru-RU"/>
        </w:rPr>
        <w:t xml:space="preserve"> </w:t>
      </w:r>
    </w:p>
    <w:p>
      <w:pPr>
        <w:pStyle w:val="Normal"/>
        <w:jc w:val="right"/>
        <w:rPr>
          <w:b/>
          <w:b/>
          <w:lang w:eastAsia="ru-RU"/>
        </w:rPr>
      </w:pPr>
      <w:r>
        <w:rPr>
          <w:b/>
          <w:lang w:eastAsia="ru-RU"/>
        </w:rPr>
        <w:t xml:space="preserve">Pielikums Nr.1 </w:t>
      </w:r>
    </w:p>
    <w:p>
      <w:pPr>
        <w:pStyle w:val="Normal"/>
        <w:jc w:val="right"/>
        <w:rPr/>
      </w:pPr>
      <w:r>
        <w:rPr>
          <w:b/>
          <w:lang w:eastAsia="ru-RU"/>
        </w:rPr>
        <w:t>2</w:t>
      </w:r>
      <w:r>
        <w:rPr>
          <w:b/>
          <w:lang w:eastAsia="ru-RU"/>
        </w:rPr>
        <w:t>7</w:t>
      </w:r>
      <w:r>
        <w:rPr>
          <w:b/>
          <w:lang w:eastAsia="ru-RU"/>
        </w:rPr>
        <w:t>.02.2020. uzaicinājumam, iepirkuma identifikācijas Nr.SPK2020/</w:t>
      </w:r>
      <w:bookmarkStart w:id="0" w:name="_GoBack"/>
      <w:bookmarkEnd w:id="0"/>
      <w:r>
        <w:rPr>
          <w:b/>
          <w:lang w:eastAsia="ru-RU"/>
        </w:rPr>
        <w:t>4</w:t>
      </w:r>
    </w:p>
    <w:p>
      <w:pPr>
        <w:pStyle w:val="Normal"/>
        <w:jc w:val="right"/>
        <w:rPr>
          <w:b/>
          <w:b/>
          <w:lang w:eastAsia="ru-RU"/>
        </w:rPr>
      </w:pPr>
      <w:r>
        <w:rPr>
          <w:b/>
          <w:lang w:eastAsia="ru-RU"/>
        </w:rPr>
      </w:r>
    </w:p>
    <w:p>
      <w:pPr>
        <w:pStyle w:val="Normal"/>
        <w:jc w:val="right"/>
        <w:rPr>
          <w:b/>
          <w:b/>
          <w:lang w:eastAsia="ru-RU"/>
        </w:rPr>
      </w:pPr>
      <w:r>
        <w:rPr>
          <w:b/>
          <w:lang w:eastAsia="ru-RU"/>
        </w:rPr>
      </w:r>
    </w:p>
    <w:p>
      <w:pPr>
        <w:pStyle w:val="Normal"/>
        <w:suppressAutoHyphens w:val="false"/>
        <w:jc w:val="center"/>
        <w:rPr>
          <w:b/>
          <w:b/>
          <w:lang w:eastAsia="ru-RU"/>
        </w:rPr>
      </w:pPr>
      <w:r>
        <w:rPr>
          <w:b/>
          <w:lang w:eastAsia="ru-RU"/>
        </w:rPr>
        <w:t>Siltummezglu iekārtu  saraksts</w:t>
      </w:r>
    </w:p>
    <w:p>
      <w:pPr>
        <w:pStyle w:val="Normal"/>
        <w:suppressAutoHyphens w:val="false"/>
        <w:jc w:val="center"/>
        <w:rPr>
          <w:b/>
          <w:b/>
          <w:lang w:eastAsia="ru-RU"/>
        </w:rPr>
      </w:pPr>
      <w:r>
        <w:rPr>
          <w:b/>
          <w:lang w:eastAsia="ru-RU"/>
        </w:rPr>
      </w:r>
    </w:p>
    <w:p>
      <w:pPr>
        <w:pStyle w:val="Normal"/>
        <w:suppressAutoHyphens w:val="false"/>
        <w:jc w:val="center"/>
        <w:rPr>
          <w:b/>
          <w:b/>
          <w:lang w:eastAsia="ru-RU"/>
        </w:rPr>
      </w:pPr>
      <w:r>
        <w:rPr>
          <w:b/>
          <w:lang w:eastAsia="ru-RU"/>
        </w:rPr>
      </w:r>
    </w:p>
    <w:tbl>
      <w:tblPr>
        <w:tblStyle w:val="af4"/>
        <w:tblW w:w="9628" w:type="dxa"/>
        <w:jc w:val="left"/>
        <w:tblInd w:w="-10" w:type="dxa"/>
        <w:tblCellMar>
          <w:top w:w="0" w:type="dxa"/>
          <w:left w:w="98" w:type="dxa"/>
          <w:bottom w:w="0" w:type="dxa"/>
          <w:right w:w="108" w:type="dxa"/>
        </w:tblCellMar>
        <w:tblLook w:firstRow="1" w:noVBand="1" w:lastRow="0" w:firstColumn="1" w:lastColumn="0" w:noHBand="0" w:val="04a0"/>
      </w:tblPr>
      <w:tblGrid>
        <w:gridCol w:w="562"/>
        <w:gridCol w:w="4252"/>
        <w:gridCol w:w="4814"/>
      </w:tblGrid>
      <w:tr>
        <w:trPr/>
        <w:tc>
          <w:tcPr>
            <w:tcW w:w="562" w:type="dxa"/>
            <w:tcBorders/>
            <w:shd w:fill="auto" w:val="clear"/>
            <w:tcMar>
              <w:left w:w="98" w:type="dxa"/>
            </w:tcMar>
          </w:tcPr>
          <w:p>
            <w:pPr>
              <w:pStyle w:val="Normal"/>
              <w:suppressAutoHyphens w:val="false"/>
              <w:jc w:val="center"/>
              <w:rPr>
                <w:b/>
                <w:b/>
                <w:lang w:eastAsia="ru-RU"/>
              </w:rPr>
            </w:pPr>
            <w:r>
              <w:rPr>
                <w:b/>
                <w:lang w:eastAsia="ru-RU"/>
              </w:rPr>
              <w:t>Nr.</w:t>
            </w:r>
          </w:p>
          <w:p>
            <w:pPr>
              <w:pStyle w:val="Normal"/>
              <w:suppressAutoHyphens w:val="false"/>
              <w:jc w:val="center"/>
              <w:rPr>
                <w:b/>
                <w:b/>
                <w:lang w:eastAsia="ru-RU"/>
              </w:rPr>
            </w:pPr>
            <w:r>
              <w:rPr>
                <w:b/>
                <w:lang w:eastAsia="ru-RU"/>
              </w:rPr>
              <w:t>p/k</w:t>
            </w:r>
          </w:p>
        </w:tc>
        <w:tc>
          <w:tcPr>
            <w:tcW w:w="4252" w:type="dxa"/>
            <w:tcBorders/>
            <w:shd w:fill="auto" w:val="clear"/>
            <w:tcMar>
              <w:left w:w="98" w:type="dxa"/>
            </w:tcMar>
          </w:tcPr>
          <w:p>
            <w:pPr>
              <w:pStyle w:val="Normal"/>
              <w:ind w:left="360" w:hanging="0"/>
              <w:rPr>
                <w:b/>
                <w:b/>
                <w:lang w:eastAsia="ru-RU"/>
              </w:rPr>
            </w:pPr>
            <w:r>
              <w:rPr>
                <w:b/>
                <w:lang w:eastAsia="ru-RU"/>
              </w:rPr>
              <w:t>Objekta adrese</w:t>
            </w:r>
          </w:p>
        </w:tc>
        <w:tc>
          <w:tcPr>
            <w:tcW w:w="4814" w:type="dxa"/>
            <w:tcBorders/>
            <w:shd w:fill="auto" w:val="clear"/>
            <w:tcMar>
              <w:left w:w="98" w:type="dxa"/>
            </w:tcMar>
          </w:tcPr>
          <w:p>
            <w:pPr>
              <w:pStyle w:val="Normal"/>
              <w:suppressAutoHyphens w:val="false"/>
              <w:jc w:val="center"/>
              <w:rPr>
                <w:b/>
                <w:b/>
                <w:lang w:eastAsia="ru-RU"/>
              </w:rPr>
            </w:pPr>
            <w:r>
              <w:rPr>
                <w:b/>
                <w:lang w:eastAsia="ru-RU"/>
              </w:rPr>
              <w:t>Iekārtas  apraksts</w:t>
            </w:r>
          </w:p>
        </w:tc>
      </w:tr>
      <w:tr>
        <w:trPr/>
        <w:tc>
          <w:tcPr>
            <w:tcW w:w="562" w:type="dxa"/>
            <w:tcBorders/>
            <w:shd w:fill="auto" w:val="clear"/>
            <w:tcMar>
              <w:left w:w="98" w:type="dxa"/>
            </w:tcMar>
          </w:tcPr>
          <w:p>
            <w:pPr>
              <w:pStyle w:val="Normal"/>
              <w:suppressAutoHyphens w:val="false"/>
              <w:jc w:val="center"/>
              <w:rPr>
                <w:lang w:eastAsia="ru-RU"/>
              </w:rPr>
            </w:pPr>
            <w:r>
              <w:rPr>
                <w:lang w:eastAsia="ru-RU"/>
              </w:rPr>
            </w:r>
          </w:p>
          <w:p>
            <w:pPr>
              <w:pStyle w:val="Normal"/>
              <w:suppressAutoHyphens w:val="false"/>
              <w:jc w:val="center"/>
              <w:rPr>
                <w:lang w:eastAsia="ru-RU"/>
              </w:rPr>
            </w:pPr>
            <w:r>
              <w:rPr>
                <w:lang w:eastAsia="ru-RU"/>
              </w:rPr>
              <w:t>1.</w:t>
            </w:r>
          </w:p>
        </w:tc>
        <w:tc>
          <w:tcPr>
            <w:tcW w:w="4252" w:type="dxa"/>
            <w:tcBorders/>
            <w:shd w:fill="auto" w:val="clear"/>
            <w:tcMar>
              <w:left w:w="98" w:type="dxa"/>
            </w:tcMar>
          </w:tcPr>
          <w:p>
            <w:pPr>
              <w:pStyle w:val="Normal"/>
              <w:rPr>
                <w:lang w:eastAsia="ru-RU"/>
              </w:rPr>
            </w:pPr>
            <w:r>
              <w:rPr>
                <w:lang w:eastAsia="ru-RU"/>
              </w:rPr>
            </w:r>
          </w:p>
          <w:p>
            <w:pPr>
              <w:pStyle w:val="Normal"/>
              <w:rPr>
                <w:lang w:eastAsia="ru-RU"/>
              </w:rPr>
            </w:pPr>
            <w:r>
              <w:rPr>
                <w:lang w:eastAsia="ru-RU"/>
              </w:rPr>
              <w:t>Siltummezgls Stacijas ielā 63, Daugavpilī ( pirts Nr.1)</w:t>
            </w:r>
          </w:p>
          <w:p>
            <w:pPr>
              <w:pStyle w:val="Normal"/>
              <w:rPr>
                <w:b/>
                <w:b/>
                <w:lang w:eastAsia="ru-RU"/>
              </w:rPr>
            </w:pPr>
            <w:r>
              <w:rPr>
                <w:b/>
                <w:lang w:eastAsia="ru-RU"/>
              </w:rPr>
            </w:r>
          </w:p>
        </w:tc>
        <w:tc>
          <w:tcPr>
            <w:tcW w:w="4814" w:type="dxa"/>
            <w:tcBorders/>
            <w:shd w:fill="auto" w:val="clear"/>
            <w:tcMar>
              <w:left w:w="98" w:type="dxa"/>
            </w:tcMar>
          </w:tcPr>
          <w:p>
            <w:pPr>
              <w:pStyle w:val="Normal"/>
              <w:suppressAutoHyphens w:val="false"/>
              <w:jc w:val="center"/>
              <w:rPr>
                <w:lang w:eastAsia="ru-RU"/>
              </w:rPr>
            </w:pPr>
            <w:r>
              <w:rPr>
                <w:lang w:eastAsia="ru-RU"/>
              </w:rPr>
            </w:r>
          </w:p>
          <w:p>
            <w:pPr>
              <w:pStyle w:val="Normal"/>
              <w:suppressAutoHyphens w:val="false"/>
              <w:jc w:val="center"/>
              <w:rPr>
                <w:lang w:eastAsia="ru-RU"/>
              </w:rPr>
            </w:pPr>
            <w:r>
              <w:rPr>
                <w:lang w:eastAsia="ru-RU"/>
              </w:rPr>
              <w:t>Apkures procesors ECL 310 ar sensoriem, siltumenerģijas skaitītājs, cirkulācijas sūknis, karstā ūdens siltummainis 498.2 kW, vārsts ar elektro piedziņu, un el.līnijām, sieta filtri un noslēgarmatūras komplekts, mēraparātu komplekts ar ievada P1 P2 verifikāciju</w:t>
            </w:r>
          </w:p>
        </w:tc>
      </w:tr>
      <w:tr>
        <w:trPr/>
        <w:tc>
          <w:tcPr>
            <w:tcW w:w="562" w:type="dxa"/>
            <w:tcBorders/>
            <w:shd w:fill="auto" w:val="clear"/>
            <w:tcMar>
              <w:left w:w="98" w:type="dxa"/>
            </w:tcMar>
          </w:tcPr>
          <w:p>
            <w:pPr>
              <w:pStyle w:val="Normal"/>
              <w:suppressAutoHyphens w:val="false"/>
              <w:jc w:val="center"/>
              <w:rPr>
                <w:lang w:eastAsia="ru-RU"/>
              </w:rPr>
            </w:pPr>
            <w:r>
              <w:rPr>
                <w:lang w:eastAsia="ru-RU"/>
              </w:rPr>
            </w:r>
          </w:p>
          <w:p>
            <w:pPr>
              <w:pStyle w:val="Normal"/>
              <w:suppressAutoHyphens w:val="false"/>
              <w:jc w:val="center"/>
              <w:rPr>
                <w:lang w:eastAsia="ru-RU"/>
              </w:rPr>
            </w:pPr>
            <w:r>
              <w:rPr>
                <w:lang w:eastAsia="ru-RU"/>
              </w:rPr>
              <w:t>2.</w:t>
            </w:r>
          </w:p>
        </w:tc>
        <w:tc>
          <w:tcPr>
            <w:tcW w:w="4252" w:type="dxa"/>
            <w:tcBorders/>
            <w:shd w:fill="auto" w:val="clear"/>
            <w:tcMar>
              <w:left w:w="98" w:type="dxa"/>
            </w:tcMar>
          </w:tcPr>
          <w:p>
            <w:pPr>
              <w:pStyle w:val="Normal"/>
              <w:rPr>
                <w:lang w:eastAsia="ru-RU"/>
              </w:rPr>
            </w:pPr>
            <w:r>
              <w:rPr>
                <w:lang w:eastAsia="ru-RU"/>
              </w:rPr>
            </w:r>
          </w:p>
          <w:p>
            <w:pPr>
              <w:pStyle w:val="Normal"/>
              <w:rPr>
                <w:lang w:eastAsia="ru-RU"/>
              </w:rPr>
            </w:pPr>
            <w:r>
              <w:rPr>
                <w:lang w:eastAsia="ru-RU"/>
              </w:rPr>
              <w:t>Siltummezgls Tautas ielā 60, Daugavpilī ( pirts Nr.2 ).</w:t>
            </w:r>
          </w:p>
          <w:p>
            <w:pPr>
              <w:pStyle w:val="Normal"/>
              <w:rPr>
                <w:lang w:eastAsia="ru-RU"/>
              </w:rPr>
            </w:pPr>
            <w:r>
              <w:rPr>
                <w:lang w:eastAsia="ru-RU"/>
              </w:rPr>
            </w:r>
          </w:p>
        </w:tc>
        <w:tc>
          <w:tcPr>
            <w:tcW w:w="4814" w:type="dxa"/>
            <w:tcBorders/>
            <w:shd w:fill="auto" w:val="clear"/>
            <w:tcMar>
              <w:left w:w="98" w:type="dxa"/>
            </w:tcMar>
          </w:tcPr>
          <w:p>
            <w:pPr>
              <w:pStyle w:val="Normal"/>
              <w:suppressAutoHyphens w:val="false"/>
              <w:jc w:val="center"/>
              <w:rPr>
                <w:lang w:eastAsia="ru-RU"/>
              </w:rPr>
            </w:pPr>
            <w:r>
              <w:rPr>
                <w:lang w:eastAsia="ru-RU"/>
              </w:rPr>
            </w:r>
          </w:p>
          <w:p>
            <w:pPr>
              <w:pStyle w:val="Normal"/>
              <w:suppressAutoHyphens w:val="false"/>
              <w:jc w:val="center"/>
              <w:rPr>
                <w:lang w:eastAsia="ru-RU"/>
              </w:rPr>
            </w:pPr>
            <w:r>
              <w:rPr>
                <w:lang w:eastAsia="ru-RU"/>
              </w:rPr>
              <w:t>Apkures procesors RVD 135 ar sensoriem, siltumenerģijas skaitītājs, cirkulācijas sūknis, karstā ūdens siltummainis 200-400 kW, vārsts ar elektro piedziņu, un el.līnijām, sieta filtri un noslēgarmatūras komplekts, mēraparātu komplekts ar ievada P1 P2 verifikāciju</w:t>
            </w:r>
          </w:p>
        </w:tc>
      </w:tr>
      <w:tr>
        <w:trPr/>
        <w:tc>
          <w:tcPr>
            <w:tcW w:w="562" w:type="dxa"/>
            <w:tcBorders/>
            <w:shd w:fill="auto" w:val="clear"/>
            <w:tcMar>
              <w:left w:w="98" w:type="dxa"/>
            </w:tcMar>
          </w:tcPr>
          <w:p>
            <w:pPr>
              <w:pStyle w:val="Normal"/>
              <w:suppressAutoHyphens w:val="false"/>
              <w:jc w:val="center"/>
              <w:rPr>
                <w:lang w:eastAsia="ru-RU"/>
              </w:rPr>
            </w:pPr>
            <w:r>
              <w:rPr>
                <w:lang w:eastAsia="ru-RU"/>
              </w:rPr>
            </w:r>
          </w:p>
          <w:p>
            <w:pPr>
              <w:pStyle w:val="Normal"/>
              <w:suppressAutoHyphens w:val="false"/>
              <w:jc w:val="center"/>
              <w:rPr>
                <w:lang w:eastAsia="ru-RU"/>
              </w:rPr>
            </w:pPr>
            <w:r>
              <w:rPr>
                <w:lang w:eastAsia="ru-RU"/>
              </w:rPr>
              <w:t>3.</w:t>
            </w:r>
          </w:p>
        </w:tc>
        <w:tc>
          <w:tcPr>
            <w:tcW w:w="4252" w:type="dxa"/>
            <w:tcBorders/>
            <w:shd w:fill="auto" w:val="clear"/>
            <w:tcMar>
              <w:left w:w="98" w:type="dxa"/>
            </w:tcMar>
          </w:tcPr>
          <w:p>
            <w:pPr>
              <w:pStyle w:val="Normal"/>
              <w:rPr>
                <w:lang w:eastAsia="ru-RU"/>
              </w:rPr>
            </w:pPr>
            <w:r>
              <w:rPr>
                <w:lang w:eastAsia="ru-RU"/>
              </w:rPr>
            </w:r>
          </w:p>
          <w:p>
            <w:pPr>
              <w:pStyle w:val="Normal"/>
              <w:rPr>
                <w:lang w:eastAsia="ru-RU"/>
              </w:rPr>
            </w:pPr>
            <w:r>
              <w:rPr>
                <w:lang w:eastAsia="ru-RU"/>
              </w:rPr>
              <w:t>Sēlijas ielā 18, Daugavpilī ( pirts Nr.4).</w:t>
            </w:r>
          </w:p>
          <w:p>
            <w:pPr>
              <w:pStyle w:val="Normal"/>
              <w:rPr>
                <w:lang w:eastAsia="ru-RU"/>
              </w:rPr>
            </w:pPr>
            <w:r>
              <w:rPr>
                <w:lang w:eastAsia="ru-RU"/>
              </w:rPr>
            </w:r>
          </w:p>
        </w:tc>
        <w:tc>
          <w:tcPr>
            <w:tcW w:w="4814" w:type="dxa"/>
            <w:tcBorders/>
            <w:shd w:fill="auto" w:val="clear"/>
            <w:tcMar>
              <w:left w:w="98" w:type="dxa"/>
            </w:tcMar>
          </w:tcPr>
          <w:p>
            <w:pPr>
              <w:pStyle w:val="Normal"/>
              <w:suppressAutoHyphens w:val="false"/>
              <w:jc w:val="center"/>
              <w:rPr>
                <w:lang w:eastAsia="ru-RU"/>
              </w:rPr>
            </w:pPr>
            <w:r>
              <w:rPr>
                <w:lang w:eastAsia="ru-RU"/>
              </w:rPr>
            </w:r>
          </w:p>
          <w:p>
            <w:pPr>
              <w:pStyle w:val="Normal"/>
              <w:suppressAutoHyphens w:val="false"/>
              <w:jc w:val="center"/>
              <w:rPr>
                <w:lang w:eastAsia="ru-RU"/>
              </w:rPr>
            </w:pPr>
            <w:r>
              <w:rPr>
                <w:lang w:eastAsia="ru-RU"/>
              </w:rPr>
              <w:t>Granulu un katlumāja kontrolieri ST -37 programmēšana, granulu katla mehāniskās daļas agregāti servisa apkope,  vadības kontroliera OVENTROP ar sensoriem programmēšana, regulējoša elektropiedziņas ar vārsta servisa apkope, granulu padeves slīpais šneks, cirkulācijas sūknis</w:t>
            </w:r>
          </w:p>
        </w:tc>
      </w:tr>
      <w:tr>
        <w:trPr/>
        <w:tc>
          <w:tcPr>
            <w:tcW w:w="562" w:type="dxa"/>
            <w:tcBorders/>
            <w:shd w:fill="auto" w:val="clear"/>
            <w:tcMar>
              <w:left w:w="98" w:type="dxa"/>
            </w:tcMar>
          </w:tcPr>
          <w:p>
            <w:pPr>
              <w:pStyle w:val="Normal"/>
              <w:suppressAutoHyphens w:val="false"/>
              <w:jc w:val="center"/>
              <w:rPr>
                <w:lang w:eastAsia="ru-RU"/>
              </w:rPr>
            </w:pPr>
            <w:r>
              <w:rPr>
                <w:lang w:eastAsia="ru-RU"/>
              </w:rPr>
            </w:r>
          </w:p>
          <w:p>
            <w:pPr>
              <w:pStyle w:val="Normal"/>
              <w:suppressAutoHyphens w:val="false"/>
              <w:jc w:val="center"/>
              <w:rPr>
                <w:lang w:eastAsia="ru-RU"/>
              </w:rPr>
            </w:pPr>
            <w:r>
              <w:rPr>
                <w:lang w:eastAsia="ru-RU"/>
              </w:rPr>
              <w:t>4.</w:t>
            </w:r>
          </w:p>
        </w:tc>
        <w:tc>
          <w:tcPr>
            <w:tcW w:w="4252" w:type="dxa"/>
            <w:tcBorders/>
            <w:shd w:fill="auto" w:val="clear"/>
            <w:tcMar>
              <w:left w:w="98" w:type="dxa"/>
            </w:tcMar>
          </w:tcPr>
          <w:p>
            <w:pPr>
              <w:pStyle w:val="Normal"/>
              <w:rPr>
                <w:lang w:eastAsia="ru-RU"/>
              </w:rPr>
            </w:pPr>
            <w:r>
              <w:rPr>
                <w:lang w:eastAsia="ru-RU"/>
              </w:rPr>
            </w:r>
          </w:p>
          <w:p>
            <w:pPr>
              <w:pStyle w:val="Normal"/>
              <w:rPr>
                <w:lang w:eastAsia="ru-RU"/>
              </w:rPr>
            </w:pPr>
            <w:r>
              <w:rPr>
                <w:lang w:eastAsia="ru-RU"/>
              </w:rPr>
              <w:t>Imantas iela 3/5, Daugavpilī</w:t>
            </w:r>
          </w:p>
        </w:tc>
        <w:tc>
          <w:tcPr>
            <w:tcW w:w="4814" w:type="dxa"/>
            <w:tcBorders/>
            <w:shd w:fill="auto" w:val="clear"/>
            <w:tcMar>
              <w:left w:w="98" w:type="dxa"/>
            </w:tcMar>
          </w:tcPr>
          <w:p>
            <w:pPr>
              <w:pStyle w:val="Normal"/>
              <w:suppressAutoHyphens w:val="false"/>
              <w:jc w:val="center"/>
              <w:rPr>
                <w:lang w:eastAsia="ru-RU"/>
              </w:rPr>
            </w:pPr>
            <w:r>
              <w:rPr>
                <w:lang w:eastAsia="ru-RU"/>
              </w:rPr>
            </w:r>
          </w:p>
          <w:p>
            <w:pPr>
              <w:pStyle w:val="Normal"/>
              <w:suppressAutoHyphens w:val="false"/>
              <w:jc w:val="center"/>
              <w:rPr>
                <w:lang w:eastAsia="ru-RU"/>
              </w:rPr>
            </w:pPr>
            <w:r>
              <w:rPr>
                <w:lang w:eastAsia="ru-RU"/>
              </w:rPr>
              <w:t>Apkures procesors RVD 135 ar sensoriem, siltumenerģijas skaitītājs, cirkulācijas sūknis, karstā ūdens siltummainis 200-400 kW, vārsts ar elektro piedziņu, un el.līnijām, sieta filtri un noslēgarmatūras komplekts, mēraparātu komplekts ar ievada P1 P2 verifikāciju</w:t>
            </w:r>
          </w:p>
        </w:tc>
      </w:tr>
      <w:tr>
        <w:trPr/>
        <w:tc>
          <w:tcPr>
            <w:tcW w:w="562" w:type="dxa"/>
            <w:tcBorders/>
            <w:shd w:fill="auto" w:val="clear"/>
            <w:tcMar>
              <w:left w:w="98" w:type="dxa"/>
            </w:tcMar>
          </w:tcPr>
          <w:p>
            <w:pPr>
              <w:pStyle w:val="Normal"/>
              <w:suppressAutoHyphens w:val="false"/>
              <w:jc w:val="center"/>
              <w:rPr>
                <w:lang w:eastAsia="ru-RU"/>
              </w:rPr>
            </w:pPr>
            <w:r>
              <w:rPr>
                <w:lang w:eastAsia="ru-RU"/>
              </w:rPr>
            </w:r>
          </w:p>
          <w:p>
            <w:pPr>
              <w:pStyle w:val="Normal"/>
              <w:suppressAutoHyphens w:val="false"/>
              <w:jc w:val="center"/>
              <w:rPr>
                <w:lang w:eastAsia="ru-RU"/>
              </w:rPr>
            </w:pPr>
            <w:r>
              <w:rPr>
                <w:lang w:eastAsia="ru-RU"/>
              </w:rPr>
              <w:t>5.</w:t>
            </w:r>
          </w:p>
        </w:tc>
        <w:tc>
          <w:tcPr>
            <w:tcW w:w="4252" w:type="dxa"/>
            <w:tcBorders/>
            <w:shd w:fill="auto" w:val="clear"/>
            <w:tcMar>
              <w:left w:w="98" w:type="dxa"/>
            </w:tcMar>
          </w:tcPr>
          <w:p>
            <w:pPr>
              <w:pStyle w:val="Normal"/>
              <w:rPr>
                <w:lang w:eastAsia="ru-RU"/>
              </w:rPr>
            </w:pPr>
            <w:r>
              <w:rPr>
                <w:lang w:eastAsia="ru-RU"/>
              </w:rPr>
            </w:r>
          </w:p>
          <w:p>
            <w:pPr>
              <w:pStyle w:val="Normal"/>
              <w:rPr>
                <w:lang w:eastAsia="ru-RU"/>
              </w:rPr>
            </w:pPr>
            <w:r>
              <w:rPr>
                <w:lang w:eastAsia="ru-RU"/>
              </w:rPr>
              <w:t xml:space="preserve">Višķu ielā 21 K, Daugavpilī </w:t>
            </w:r>
          </w:p>
          <w:p>
            <w:pPr>
              <w:pStyle w:val="Normal"/>
              <w:rPr>
                <w:lang w:eastAsia="ru-RU"/>
              </w:rPr>
            </w:pPr>
            <w:r>
              <w:rPr>
                <w:lang w:eastAsia="ru-RU"/>
              </w:rPr>
            </w:r>
          </w:p>
        </w:tc>
        <w:tc>
          <w:tcPr>
            <w:tcW w:w="4814" w:type="dxa"/>
            <w:tcBorders/>
            <w:shd w:fill="auto" w:val="clear"/>
            <w:tcMar>
              <w:left w:w="98" w:type="dxa"/>
            </w:tcMar>
          </w:tcPr>
          <w:p>
            <w:pPr>
              <w:pStyle w:val="Normal"/>
              <w:suppressAutoHyphens w:val="false"/>
              <w:jc w:val="center"/>
              <w:rPr>
                <w:lang w:eastAsia="ru-RU"/>
              </w:rPr>
            </w:pPr>
            <w:r>
              <w:rPr>
                <w:lang w:eastAsia="ru-RU"/>
              </w:rPr>
            </w:r>
          </w:p>
          <w:p>
            <w:pPr>
              <w:pStyle w:val="Normal"/>
              <w:suppressAutoHyphens w:val="false"/>
              <w:jc w:val="center"/>
              <w:rPr>
                <w:lang w:eastAsia="ru-RU"/>
              </w:rPr>
            </w:pPr>
            <w:r>
              <w:rPr>
                <w:lang w:eastAsia="ru-RU"/>
              </w:rPr>
              <w:t>Vadības termostats ar sensoriem, elektrokatls “Galan” ar elektrisko sadali, cirkulācijas sūknis, sieta filtri un noslēgarmatūras komplekts, mēraparātu komplekts</w:t>
            </w:r>
          </w:p>
        </w:tc>
      </w:tr>
    </w:tbl>
    <w:p>
      <w:pPr>
        <w:pStyle w:val="Normal"/>
        <w:suppressAutoHyphens w:val="false"/>
        <w:jc w:val="center"/>
        <w:rPr>
          <w:b/>
          <w:b/>
          <w:lang w:eastAsia="ru-RU"/>
        </w:rPr>
      </w:pPr>
      <w:r>
        <w:rPr>
          <w:b/>
          <w:lang w:eastAsia="ru-RU"/>
        </w:rPr>
      </w:r>
    </w:p>
    <w:p>
      <w:pPr>
        <w:pStyle w:val="Normal"/>
        <w:suppressAutoHyphens w:val="false"/>
        <w:jc w:val="center"/>
        <w:rPr>
          <w:b/>
          <w:b/>
          <w:lang w:eastAsia="ru-RU"/>
        </w:rPr>
      </w:pPr>
      <w:r>
        <w:rPr>
          <w:b/>
          <w:lang w:eastAsia="ru-RU"/>
        </w:rPr>
      </w:r>
    </w:p>
    <w:p>
      <w:pPr>
        <w:pStyle w:val="Normal"/>
        <w:suppressAutoHyphens w:val="false"/>
        <w:jc w:val="center"/>
        <w:rPr>
          <w:b/>
          <w:b/>
          <w:lang w:eastAsia="ru-RU"/>
        </w:rPr>
      </w:pPr>
      <w:r>
        <w:rPr>
          <w:b/>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rPr>
          <w:lang w:eastAsia="ru-RU"/>
        </w:rPr>
      </w:pPr>
      <w:r>
        <w:rPr>
          <w:lang w:eastAsia="ru-RU"/>
        </w:rPr>
      </w:r>
    </w:p>
    <w:p>
      <w:pPr>
        <w:pStyle w:val="Normal"/>
        <w:jc w:val="right"/>
        <w:rPr/>
      </w:pPr>
      <w:r>
        <w:rPr>
          <w:b/>
          <w:lang w:eastAsia="ru-RU"/>
        </w:rPr>
        <w:t>Pielikums Nr.</w:t>
      </w:r>
      <w:r>
        <w:rPr>
          <w:b/>
          <w:lang w:eastAsia="ru-RU"/>
        </w:rPr>
        <w:t>2</w:t>
      </w:r>
      <w:r>
        <w:rPr>
          <w:b/>
          <w:lang w:eastAsia="ru-RU"/>
        </w:rPr>
        <w:t xml:space="preserve"> </w:t>
      </w:r>
    </w:p>
    <w:p>
      <w:pPr>
        <w:pStyle w:val="Normal"/>
        <w:jc w:val="right"/>
        <w:rPr>
          <w:lang w:eastAsia="ru-RU"/>
        </w:rPr>
      </w:pPr>
      <w:r>
        <w:rPr>
          <w:b/>
          <w:lang w:eastAsia="ru-RU"/>
        </w:rPr>
        <w:t>2</w:t>
      </w:r>
      <w:r>
        <w:rPr>
          <w:b/>
          <w:lang w:eastAsia="ru-RU"/>
        </w:rPr>
        <w:t>7</w:t>
      </w:r>
      <w:r>
        <w:rPr>
          <w:b/>
          <w:lang w:eastAsia="ru-RU"/>
        </w:rPr>
        <w:t>.02.2020. uzaicinājumam, iepirkuma identifikācijas Nr.SPK2020/</w:t>
      </w:r>
      <w:bookmarkStart w:id="1" w:name="_GoBack1"/>
      <w:bookmarkEnd w:id="1"/>
      <w:r>
        <w:rPr>
          <w:b/>
          <w:lang w:eastAsia="ru-RU"/>
        </w:rPr>
        <w:t>4</w:t>
      </w:r>
    </w:p>
    <w:p>
      <w:pPr>
        <w:pStyle w:val="Normal"/>
        <w:rPr>
          <w:lang w:eastAsia="ru-RU"/>
        </w:rPr>
      </w:pPr>
      <w:r>
        <w:rPr>
          <w:lang w:eastAsia="ru-RU"/>
        </w:rPr>
      </w:r>
    </w:p>
    <w:p>
      <w:pPr>
        <w:pStyle w:val="Normal"/>
        <w:rPr>
          <w:lang w:eastAsia="ru-RU"/>
        </w:rPr>
      </w:pPr>
      <w:r>
        <w:rPr>
          <w:lang w:eastAsia="ru-RU"/>
        </w:rPr>
      </w:r>
    </w:p>
    <w:p>
      <w:pPr>
        <w:pStyle w:val="Normal"/>
        <w:suppressAutoHyphens w:val="false"/>
        <w:jc w:val="center"/>
        <w:rPr>
          <w:lang w:eastAsia="ru-RU"/>
        </w:rPr>
      </w:pPr>
      <w:r>
        <w:rPr>
          <w:rFonts w:eastAsia="Times New Roman" w:cs="Times New Roman"/>
          <w:b/>
          <w:bCs/>
          <w:color w:val="00000A"/>
          <w:sz w:val="22"/>
          <w:szCs w:val="22"/>
          <w:lang w:val="lv-LV" w:eastAsia="ru-RU" w:bidi="ar-SA"/>
        </w:rPr>
        <w:t>Mehāniskās ventilācijas sistēmu saraksts</w:t>
      </w:r>
    </w:p>
    <w:p>
      <w:pPr>
        <w:pStyle w:val="Normal"/>
        <w:suppressAutoHyphens w:val="false"/>
        <w:jc w:val="center"/>
        <w:rPr>
          <w:rFonts w:ascii="Times New Roman" w:hAnsi="Times New Roman" w:eastAsia="Times New Roman" w:cs="Times New Roman"/>
          <w:b/>
          <w:b/>
          <w:bCs/>
          <w:color w:val="00000A"/>
          <w:sz w:val="22"/>
          <w:szCs w:val="22"/>
          <w:lang w:val="lv-LV" w:bidi="ar-SA"/>
        </w:rPr>
      </w:pPr>
      <w:r>
        <w:rPr>
          <w:rFonts w:eastAsia="Times New Roman" w:cs="Times New Roman"/>
          <w:b/>
          <w:bCs/>
          <w:color w:val="00000A"/>
          <w:sz w:val="22"/>
          <w:szCs w:val="22"/>
          <w:lang w:val="lv-LV" w:bidi="ar-SA"/>
        </w:rPr>
      </w:r>
    </w:p>
    <w:tbl>
      <w:tblPr>
        <w:tblW w:w="9638"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452"/>
        <w:gridCol w:w="2434"/>
        <w:gridCol w:w="6752"/>
      </w:tblGrid>
      <w:tr>
        <w:trPr/>
        <w:tc>
          <w:tcPr>
            <w:tcW w:w="45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1.</w:t>
            </w:r>
          </w:p>
        </w:tc>
        <w:tc>
          <w:tcPr>
            <w:tcW w:w="243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Stacijas ielā 63, Daugavpilī</w:t>
            </w:r>
          </w:p>
        </w:tc>
        <w:tc>
          <w:tcPr>
            <w:tcW w:w="6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t>PN-1/1402m3/sf,245PA</w:t>
            </w:r>
          </w:p>
          <w:p>
            <w:pPr>
              <w:pStyle w:val="TableContents"/>
              <w:rPr/>
            </w:pPr>
            <w:r>
              <w:rPr/>
              <w:t>Ris1900 VNR EKO 3,0</w:t>
            </w:r>
          </w:p>
          <w:p>
            <w:pPr>
              <w:pStyle w:val="TableContents"/>
              <w:rPr/>
            </w:pPr>
            <w:r>
              <w:rPr/>
              <w:t>Plakšņu rekuperators</w:t>
            </w:r>
          </w:p>
          <w:p>
            <w:pPr>
              <w:pStyle w:val="TableContents"/>
              <w:rPr/>
            </w:pPr>
            <w:r>
              <w:rPr/>
              <w:t>Pieplūdes ventilators ar EC motoru 0,49 Kw</w:t>
            </w:r>
          </w:p>
          <w:p>
            <w:pPr>
              <w:pStyle w:val="TableContents"/>
              <w:rPr/>
            </w:pPr>
            <w:r>
              <w:rPr/>
              <w:t>M-5 klases filtrs nosūcei – 1.gab.</w:t>
            </w:r>
          </w:p>
          <w:p>
            <w:pPr>
              <w:pStyle w:val="TableContents"/>
              <w:rPr/>
            </w:pPr>
            <w:bookmarkStart w:id="2" w:name="__DdeLink__309_1805242623"/>
            <w:bookmarkEnd w:id="2"/>
            <w:r>
              <w:rPr/>
              <w:t>F7 klases filtrs pieplūdei – 1.gab.</w:t>
            </w:r>
          </w:p>
        </w:tc>
      </w:tr>
      <w:tr>
        <w:trPr/>
        <w:tc>
          <w:tcPr>
            <w:tcW w:w="45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2.</w:t>
            </w:r>
          </w:p>
        </w:tc>
        <w:tc>
          <w:tcPr>
            <w:tcW w:w="243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Stacijas ielā 63, Daugavpilī</w:t>
            </w:r>
          </w:p>
        </w:tc>
        <w:tc>
          <w:tcPr>
            <w:tcW w:w="6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t>PN-2/1123 m3/sf, 210 PA</w:t>
            </w:r>
          </w:p>
          <w:p>
            <w:pPr>
              <w:pStyle w:val="TableContents"/>
              <w:rPr/>
            </w:pPr>
            <w:r>
              <w:rPr/>
              <w:t>Ris1200 VWR EKO 3,0</w:t>
            </w:r>
          </w:p>
          <w:p>
            <w:pPr>
              <w:pStyle w:val="TableContents"/>
              <w:rPr/>
            </w:pPr>
            <w:r>
              <w:rPr/>
              <w:t>Plakšņu rekuperators</w:t>
            </w:r>
          </w:p>
          <w:p>
            <w:pPr>
              <w:pStyle w:val="TableContents"/>
              <w:rPr/>
            </w:pPr>
            <w:r>
              <w:rPr/>
              <w:t>Pieplūdes ventilators ar EC motoru 0,43 Kw</w:t>
            </w:r>
          </w:p>
          <w:p>
            <w:pPr>
              <w:pStyle w:val="TableContents"/>
              <w:rPr/>
            </w:pPr>
            <w:r>
              <w:rPr/>
              <w:t>M-5 klases filtrs nosūcei – 1.gab.</w:t>
            </w:r>
          </w:p>
          <w:p>
            <w:pPr>
              <w:pStyle w:val="TableContents"/>
              <w:rPr/>
            </w:pPr>
            <w:r>
              <w:rPr/>
              <w:t>F7 klases filtrs pieplūdei – 1.gab.</w:t>
            </w:r>
          </w:p>
        </w:tc>
      </w:tr>
      <w:tr>
        <w:trPr/>
        <w:tc>
          <w:tcPr>
            <w:tcW w:w="45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3.</w:t>
            </w:r>
          </w:p>
        </w:tc>
        <w:tc>
          <w:tcPr>
            <w:tcW w:w="243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Stacijas ielā 63, Daugavpilī</w:t>
            </w:r>
          </w:p>
        </w:tc>
        <w:tc>
          <w:tcPr>
            <w:tcW w:w="6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t>PN-3/930 m3/sf, 210 PA</w:t>
            </w:r>
          </w:p>
          <w:p>
            <w:pPr>
              <w:pStyle w:val="TableContents"/>
              <w:rPr/>
            </w:pPr>
            <w:r>
              <w:rPr/>
              <w:t>RNS 1200 VNR EKO 3,0</w:t>
            </w:r>
          </w:p>
          <w:p>
            <w:pPr>
              <w:pStyle w:val="TableContents"/>
              <w:rPr/>
            </w:pPr>
            <w:r>
              <w:rPr/>
              <w:t>Plakšņu rekuperators</w:t>
            </w:r>
          </w:p>
          <w:p>
            <w:pPr>
              <w:pStyle w:val="TableContents"/>
              <w:rPr/>
            </w:pPr>
            <w:r>
              <w:rPr/>
              <w:t>Pieplūdes ventilators ar EC motoru 0,43 Kw</w:t>
            </w:r>
          </w:p>
          <w:p>
            <w:pPr>
              <w:pStyle w:val="TableContents"/>
              <w:rPr/>
            </w:pPr>
            <w:r>
              <w:rPr/>
              <w:t>M-5 klases filtrs nosūcei – 1.gab.</w:t>
            </w:r>
          </w:p>
          <w:p>
            <w:pPr>
              <w:pStyle w:val="TableContents"/>
              <w:rPr/>
            </w:pPr>
            <w:r>
              <w:rPr/>
              <w:t>F7 klases filtrs pieplūdei – 1.gab.</w:t>
            </w:r>
          </w:p>
        </w:tc>
      </w:tr>
      <w:tr>
        <w:trPr/>
        <w:tc>
          <w:tcPr>
            <w:tcW w:w="452"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4.</w:t>
            </w:r>
          </w:p>
        </w:tc>
        <w:tc>
          <w:tcPr>
            <w:tcW w:w="2434"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TableContents"/>
              <w:rPr/>
            </w:pPr>
            <w:r>
              <w:rPr/>
              <w:t>Stacijas ielā 63, Daugavpilī</w:t>
            </w:r>
          </w:p>
        </w:tc>
        <w:tc>
          <w:tcPr>
            <w:tcW w:w="67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TableContents"/>
              <w:rPr/>
            </w:pPr>
            <w:r>
              <w:rPr/>
              <w:t>PN-4 Amber 1PP-300 Gaisa apstrādes iekārta</w:t>
            </w:r>
          </w:p>
          <w:p>
            <w:pPr>
              <w:pStyle w:val="TableContents"/>
              <w:rPr/>
            </w:pPr>
            <w:r>
              <w:rPr/>
              <w:t>320/320 m3/sf, 160/150 PA</w:t>
            </w:r>
          </w:p>
          <w:p>
            <w:pPr>
              <w:pStyle w:val="TableContents"/>
              <w:rPr/>
            </w:pPr>
            <w:r>
              <w:rPr/>
              <w:t>F6 filtri pieplūde</w:t>
            </w:r>
          </w:p>
          <w:p>
            <w:pPr>
              <w:pStyle w:val="TableContents"/>
              <w:rPr/>
            </w:pPr>
            <w:r>
              <w:rPr/>
              <w:t>F8 filtri nosūcet</w:t>
            </w:r>
          </w:p>
        </w:tc>
      </w:tr>
    </w:tbl>
    <w:p>
      <w:pPr>
        <w:pStyle w:val="Normal"/>
        <w:suppressAutoHyphens w:val="false"/>
        <w:jc w:val="center"/>
        <w:rPr>
          <w:rFonts w:ascii="Times New Roman" w:hAnsi="Times New Roman" w:eastAsia="Times New Roman" w:cs="Times New Roman"/>
          <w:b/>
          <w:b/>
          <w:bCs/>
          <w:color w:val="00000A"/>
          <w:sz w:val="22"/>
          <w:szCs w:val="22"/>
          <w:lang w:val="lv-LV" w:bidi="ar-SA"/>
        </w:rPr>
      </w:pPr>
      <w:r>
        <w:rPr>
          <w:rFonts w:eastAsia="Times New Roman" w:cs="Times New Roman"/>
          <w:b/>
          <w:bCs/>
          <w:color w:val="00000A"/>
          <w:sz w:val="22"/>
          <w:szCs w:val="22"/>
          <w:lang w:val="lv-LV" w:bidi="ar-SA"/>
        </w:rPr>
      </w:r>
    </w:p>
    <w:p>
      <w:pPr>
        <w:pStyle w:val="Normal"/>
        <w:suppressAutoHyphens w:val="false"/>
        <w:jc w:val="center"/>
        <w:rPr>
          <w:rFonts w:ascii="Times New Roman" w:hAnsi="Times New Roman" w:eastAsia="Times New Roman" w:cs="Times New Roman"/>
          <w:b/>
          <w:b/>
          <w:bCs/>
          <w:color w:val="00000A"/>
          <w:sz w:val="22"/>
          <w:szCs w:val="22"/>
          <w:lang w:val="lv-LV" w:bidi="ar-SA"/>
        </w:rPr>
      </w:pPr>
      <w:r>
        <w:rPr>
          <w:rFonts w:eastAsia="Times New Roman" w:cs="Times New Roman"/>
          <w:b/>
          <w:bCs/>
          <w:color w:val="00000A"/>
          <w:sz w:val="22"/>
          <w:szCs w:val="22"/>
          <w:lang w:val="lv-LV" w:bidi="ar-SA"/>
        </w:rPr>
      </w:r>
    </w:p>
    <w:p>
      <w:pPr>
        <w:pStyle w:val="Normal"/>
        <w:suppressAutoHyphens w:val="false"/>
        <w:jc w:val="center"/>
        <w:rPr>
          <w:rFonts w:ascii="Times New Roman" w:hAnsi="Times New Roman" w:eastAsia="Times New Roman" w:cs="Times New Roman"/>
          <w:b/>
          <w:b/>
          <w:bCs/>
          <w:color w:val="00000A"/>
          <w:sz w:val="22"/>
          <w:szCs w:val="22"/>
          <w:lang w:val="lv-LV" w:bidi="ar-SA"/>
        </w:rPr>
      </w:pPr>
      <w:r>
        <w:rPr>
          <w:rFonts w:eastAsia="Times New Roman" w:cs="Times New Roman"/>
          <w:b/>
          <w:bCs/>
          <w:color w:val="00000A"/>
          <w:sz w:val="22"/>
          <w:szCs w:val="22"/>
          <w:lang w:val="lv-LV" w:bidi="ar-SA"/>
        </w:rPr>
      </w:r>
    </w:p>
    <w:p>
      <w:pPr>
        <w:pStyle w:val="Normal"/>
        <w:suppressAutoHyphens w:val="false"/>
        <w:jc w:val="center"/>
        <w:rPr>
          <w:rFonts w:ascii="Times New Roman" w:hAnsi="Times New Roman" w:eastAsia="Times New Roman" w:cs="Times New Roman"/>
          <w:b/>
          <w:b/>
          <w:bCs/>
          <w:color w:val="00000A"/>
          <w:sz w:val="22"/>
          <w:szCs w:val="22"/>
          <w:lang w:val="lv-LV" w:bidi="ar-SA"/>
        </w:rPr>
      </w:pPr>
      <w:r>
        <w:rPr>
          <w:rFonts w:eastAsia="Times New Roman" w:cs="Times New Roman"/>
          <w:b/>
          <w:bCs/>
          <w:color w:val="00000A"/>
          <w:sz w:val="22"/>
          <w:szCs w:val="22"/>
          <w:lang w:val="lv-LV" w:bidi="ar-SA"/>
        </w:rPr>
      </w:r>
    </w:p>
    <w:p>
      <w:pPr>
        <w:pStyle w:val="Normal"/>
        <w:suppressAutoHyphens w:val="false"/>
        <w:jc w:val="center"/>
        <w:rPr>
          <w:rFonts w:ascii="Times New Roman" w:hAnsi="Times New Roman" w:eastAsia="Times New Roman" w:cs="Times New Roman"/>
          <w:b/>
          <w:b/>
          <w:bCs/>
          <w:color w:val="00000A"/>
          <w:sz w:val="22"/>
          <w:szCs w:val="22"/>
          <w:lang w:val="lv-LV" w:bidi="ar-SA"/>
        </w:rPr>
      </w:pPr>
      <w:r>
        <w:rPr>
          <w:rFonts w:eastAsia="Times New Roman" w:cs="Times New Roman"/>
          <w:b/>
          <w:bCs/>
          <w:color w:val="00000A"/>
          <w:sz w:val="22"/>
          <w:szCs w:val="22"/>
          <w:lang w:val="lv-LV" w:bidi="ar-SA"/>
        </w:rPr>
      </w:r>
    </w:p>
    <w:p>
      <w:pPr>
        <w:pStyle w:val="Normal"/>
        <w:rPr>
          <w:lang w:eastAsia="ru-RU"/>
        </w:rPr>
      </w:pPr>
      <w:r>
        <w:rPr>
          <w:lang w:eastAsia="ru-RU"/>
        </w:rPr>
        <w:t>Sastādīja:</w:t>
      </w:r>
    </w:p>
    <w:p>
      <w:pPr>
        <w:pStyle w:val="Normal"/>
        <w:rPr/>
      </w:pPr>
      <w:r>
        <w:rPr>
          <w:lang w:eastAsia="ru-RU"/>
        </w:rPr>
        <w:t>Saimniecības vadītāja</w:t>
        <w:tab/>
        <w:tab/>
        <w:tab/>
        <w:tab/>
        <w:tab/>
        <w:t>L.Sokolovska</w:t>
      </w:r>
    </w:p>
    <w:sectPr>
      <w:footerReference w:type="default" r:id="rId13"/>
      <w:type w:val="nextPage"/>
      <w:pgSz w:w="11906" w:h="16838"/>
      <w:pgMar w:left="1701" w:right="567" w:header="0" w:top="1134" w:footer="6"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Light">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2555278"/>
    </w:sdtPr>
    <w:sdtContent>
      <w:p>
        <w:pPr>
          <w:pStyle w:val="Footer"/>
          <w:jc w:val="center"/>
          <w:rPr/>
        </w:pPr>
        <w:r>
          <w:rPr/>
          <w:fldChar w:fldCharType="begin"/>
        </w:r>
        <w:r>
          <w:instrText> PAGE </w:instrText>
        </w:r>
        <w:r>
          <w:fldChar w:fldCharType="separate"/>
        </w:r>
        <w:r>
          <w:t>3</w:t>
        </w:r>
        <w:r>
          <w:fldChar w:fldCharType="end"/>
        </w:r>
      </w:p>
    </w:sdtContent>
  </w:sdt>
  <w:p>
    <w:pPr>
      <w:pStyle w:val="Footer"/>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rPr>
        <w:rFonts w:cs="Symbol"/>
      </w:rPr>
    </w:lvl>
    <w:lvl w:ilvl="1">
      <w:start w:val="1"/>
      <w:numFmt w:val="none"/>
      <w:suff w:val="nothing"/>
      <w:lvlText w:val=""/>
      <w:lvlJc w:val="left"/>
      <w:pPr>
        <w:ind w:left="0" w:hanging="0"/>
      </w:pPr>
    </w:lvl>
    <w:lvl w:ilvl="2">
      <w:start w:val="1"/>
      <w:pStyle w:val="Heading3"/>
      <w:numFmt w:val="none"/>
      <w:suff w:val="nothing"/>
      <w:lvlText w:val=""/>
      <w:lvlJc w:val="left"/>
      <w:pPr>
        <w:ind w:left="720" w:hanging="720"/>
      </w:pPr>
      <w:rPr>
        <w:rFonts w:cs="Wingdings"/>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rPr>
        <w:rFonts w:cs="Symbol"/>
      </w:rPr>
    </w:lvl>
    <w:lvl w:ilvl="1">
      <w:start w:val="1"/>
      <w:numFmt w:val="none"/>
      <w:suff w:val="nothing"/>
      <w:lvlText w:val=""/>
      <w:lvlJc w:val="left"/>
      <w:pPr>
        <w:ind w:left="576" w:hanging="576"/>
      </w:pPr>
      <w:rPr>
        <w:rFonts w:cs="Courier New"/>
      </w:rPr>
    </w:lvl>
    <w:lvl w:ilvl="2">
      <w:start w:val="1"/>
      <w:numFmt w:val="none"/>
      <w:suff w:val="nothing"/>
      <w:lvlText w:val=""/>
      <w:lvlJc w:val="left"/>
      <w:pPr>
        <w:ind w:left="720" w:hanging="720"/>
      </w:pPr>
      <w:rPr>
        <w:rFonts w:cs="Wingdings"/>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3"/>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4"/>
      <w:szCs w:val="24"/>
      <w:lang w:val="lv-LV" w:eastAsia="ar-SA" w:bidi="ar-SA"/>
    </w:rPr>
  </w:style>
  <w:style w:type="paragraph" w:styleId="Heading1">
    <w:name w:val="Heading 1"/>
    <w:basedOn w:val="Normal"/>
    <w:qFormat/>
    <w:pPr>
      <w:keepNext/>
      <w:numPr>
        <w:ilvl w:val="0"/>
        <w:numId w:val="1"/>
      </w:numPr>
      <w:jc w:val="right"/>
      <w:outlineLvl w:val="0"/>
      <w:outlineLvl w:val="0"/>
    </w:pPr>
    <w:rPr>
      <w:sz w:val="32"/>
    </w:rPr>
  </w:style>
  <w:style w:type="paragraph" w:styleId="Heading2">
    <w:name w:val="Heading 2"/>
    <w:basedOn w:val="Normal"/>
    <w:link w:val="20"/>
    <w:qFormat/>
    <w:rsid w:val="00fb0bab"/>
    <w:pPr>
      <w:keepNext/>
      <w:suppressAutoHyphens w:val="false"/>
      <w:spacing w:before="240" w:after="60"/>
      <w:outlineLvl w:val="1"/>
    </w:pPr>
    <w:rPr>
      <w:rFonts w:ascii="Arial" w:hAnsi="Arial" w:cs="Arial"/>
      <w:b/>
      <w:bCs/>
      <w:i/>
      <w:iCs/>
      <w:color w:val="000000"/>
      <w:sz w:val="28"/>
      <w:szCs w:val="28"/>
      <w:lang w:eastAsia="en-US"/>
    </w:rPr>
  </w:style>
  <w:style w:type="paragraph" w:styleId="Heading3">
    <w:name w:val="Heading 3"/>
    <w:basedOn w:val="Normal"/>
    <w:qFormat/>
    <w:pPr>
      <w:keepNext/>
      <w:numPr>
        <w:ilvl w:val="2"/>
        <w:numId w:val="1"/>
      </w:numPr>
      <w:spacing w:before="240" w:after="60"/>
      <w:outlineLvl w:val="2"/>
      <w:outlineLvl w:val="2"/>
    </w:pPr>
    <w:rPr>
      <w:rFonts w:ascii="Cambria" w:hAnsi="Cambria"/>
      <w:b/>
      <w:bCs/>
      <w:sz w:val="26"/>
      <w:szCs w:val="26"/>
    </w:rPr>
  </w:style>
  <w:style w:type="paragraph" w:styleId="Heading4">
    <w:name w:val="Heading 4"/>
    <w:basedOn w:val="Normal"/>
    <w:link w:val="40"/>
    <w:uiPriority w:val="9"/>
    <w:semiHidden/>
    <w:unhideWhenUsed/>
    <w:qFormat/>
    <w:rsid w:val="00e11849"/>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1" w:customStyle="1">
    <w:name w:val="Основной шрифт абзаца1"/>
    <w:qFormat/>
    <w:rPr/>
  </w:style>
  <w:style w:type="character" w:styleId="InternetLink">
    <w:name w:val="Internet Link"/>
    <w:rPr>
      <w:color w:val="0000FF"/>
      <w:u w:val="single"/>
    </w:rPr>
  </w:style>
  <w:style w:type="character" w:styleId="Pagenumber">
    <w:name w:val="page number"/>
    <w:basedOn w:val="1"/>
    <w:qFormat/>
    <w:rPr/>
  </w:style>
  <w:style w:type="character" w:styleId="3" w:customStyle="1">
    <w:name w:val="Заголовок 3 Знак"/>
    <w:qFormat/>
    <w:rPr>
      <w:rFonts w:ascii="Cambria" w:hAnsi="Cambria" w:eastAsia="Times New Roman" w:cs="Times New Roman"/>
      <w:b/>
      <w:bCs/>
      <w:sz w:val="26"/>
      <w:szCs w:val="26"/>
      <w:lang w:val="lv-LV"/>
    </w:rPr>
  </w:style>
  <w:style w:type="character" w:styleId="2" w:customStyle="1">
    <w:name w:val="Основной текст 2 Знак"/>
    <w:qFormat/>
    <w:rPr>
      <w:sz w:val="24"/>
      <w:szCs w:val="24"/>
      <w:lang w:val="lv-LV"/>
    </w:rPr>
  </w:style>
  <w:style w:type="character" w:styleId="Style10" w:customStyle="1">
    <w:name w:val="Основной текст с отступом Знак"/>
    <w:qFormat/>
    <w:rPr>
      <w:sz w:val="24"/>
      <w:szCs w:val="24"/>
      <w:lang w:val="lv-LV"/>
    </w:rPr>
  </w:style>
  <w:style w:type="character" w:styleId="ListLabel3" w:customStyle="1">
    <w:name w:val="ListLabel 3"/>
    <w:qFormat/>
    <w:rPr>
      <w:sz w:val="20"/>
    </w:rPr>
  </w:style>
  <w:style w:type="character" w:styleId="ListLabel1" w:customStyle="1">
    <w:name w:val="ListLabel 1"/>
    <w:qFormat/>
    <w:rPr>
      <w:rFonts w:cs="Courier New"/>
    </w:rPr>
  </w:style>
  <w:style w:type="character" w:styleId="Style11" w:customStyle="1">
    <w:name w:val="Название Знак"/>
    <w:link w:val="af"/>
    <w:qFormat/>
    <w:rsid w:val="007050ee"/>
    <w:rPr>
      <w:b/>
      <w:bCs/>
      <w:sz w:val="28"/>
      <w:szCs w:val="24"/>
      <w:lang w:val="lv-LV" w:eastAsia="en-US"/>
    </w:rPr>
  </w:style>
  <w:style w:type="character" w:styleId="Inplacedisplayid1siteid0" w:customStyle="1">
    <w:name w:val="inplacedisplayid1siteid0"/>
    <w:qFormat/>
    <w:rsid w:val="0029628f"/>
    <w:rPr/>
  </w:style>
  <w:style w:type="character" w:styleId="Style12" w:customStyle="1">
    <w:name w:val="Нижний колонтитул Знак"/>
    <w:link w:val="aa"/>
    <w:uiPriority w:val="99"/>
    <w:qFormat/>
    <w:rsid w:val="00411069"/>
    <w:rPr>
      <w:sz w:val="24"/>
      <w:szCs w:val="24"/>
      <w:lang w:val="lv-LV" w:eastAsia="ar-SA"/>
    </w:rPr>
  </w:style>
  <w:style w:type="character" w:styleId="21" w:customStyle="1">
    <w:name w:val="Заголовок 2 Знак"/>
    <w:basedOn w:val="DefaultParagraphFont"/>
    <w:link w:val="2"/>
    <w:qFormat/>
    <w:rsid w:val="00fb0bab"/>
    <w:rPr>
      <w:rFonts w:ascii="Arial" w:hAnsi="Arial" w:cs="Arial"/>
      <w:b/>
      <w:bCs/>
      <w:i/>
      <w:iCs/>
      <w:color w:val="000000"/>
      <w:sz w:val="28"/>
      <w:szCs w:val="28"/>
      <w:lang w:val="lv-LV" w:eastAsia="en-US"/>
    </w:rPr>
  </w:style>
  <w:style w:type="character" w:styleId="Style13" w:customStyle="1">
    <w:name w:val="Подзаголовок Знак"/>
    <w:basedOn w:val="DefaultParagraphFont"/>
    <w:link w:val="af2"/>
    <w:qFormat/>
    <w:rsid w:val="000d692b"/>
    <w:rPr>
      <w:rFonts w:eastAsia="Calibri"/>
      <w:sz w:val="28"/>
      <w:szCs w:val="28"/>
      <w:lang w:val="lv-LV" w:eastAsia="en-US"/>
    </w:rPr>
  </w:style>
  <w:style w:type="character" w:styleId="211" w:customStyle="1">
    <w:name w:val="Основной текст 2 Знак1"/>
    <w:basedOn w:val="DefaultParagraphFont"/>
    <w:link w:val="22"/>
    <w:uiPriority w:val="99"/>
    <w:semiHidden/>
    <w:qFormat/>
    <w:rsid w:val="00c470ff"/>
    <w:rPr>
      <w:sz w:val="24"/>
      <w:szCs w:val="24"/>
      <w:lang w:val="lv-LV" w:eastAsia="ar-SA"/>
    </w:rPr>
  </w:style>
  <w:style w:type="character" w:styleId="4" w:customStyle="1">
    <w:name w:val="Заголовок 4 Знак"/>
    <w:basedOn w:val="DefaultParagraphFont"/>
    <w:link w:val="4"/>
    <w:uiPriority w:val="9"/>
    <w:semiHidden/>
    <w:qFormat/>
    <w:rsid w:val="00e11849"/>
    <w:rPr>
      <w:rFonts w:ascii="Calibri Light" w:hAnsi="Calibri Light" w:eastAsia="" w:cs="" w:asciiTheme="majorHAnsi" w:cstheme="majorBidi" w:eastAsiaTheme="majorEastAsia" w:hAnsiTheme="majorHAnsi"/>
      <w:i/>
      <w:iCs/>
      <w:color w:val="2E74B5" w:themeColor="accent1" w:themeShade="bf"/>
      <w:sz w:val="24"/>
      <w:szCs w:val="24"/>
      <w:lang w:val="lv-LV" w:eastAsia="ar-SA"/>
    </w:rPr>
  </w:style>
  <w:style w:type="character" w:styleId="22" w:customStyle="1">
    <w:name w:val="Основной текст с отступом 2 Знак"/>
    <w:basedOn w:val="DefaultParagraphFont"/>
    <w:link w:val="23"/>
    <w:uiPriority w:val="99"/>
    <w:semiHidden/>
    <w:qFormat/>
    <w:rsid w:val="00e747ac"/>
    <w:rPr>
      <w:sz w:val="24"/>
      <w:szCs w:val="24"/>
      <w:lang w:val="lv-LV" w:eastAsia="ar-SA"/>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eastAsia="Times New Roman" w:cs="Times New Roman"/>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Times New Roman" w:cs="Times New Roman"/>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b w:val="false"/>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b/>
    </w:rPr>
  </w:style>
  <w:style w:type="character" w:styleId="ListLabel38">
    <w:name w:val="ListLabel 38"/>
    <w:qFormat/>
    <w:rPr>
      <w:b w:val="false"/>
    </w:rPr>
  </w:style>
  <w:style w:type="character" w:styleId="ListLabel39">
    <w:name w:val="ListLabel 39"/>
    <w:qFormat/>
    <w:rPr>
      <w:rFonts w:eastAsia="Times New Roman" w:cs="Times New Roman"/>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b w:val="false"/>
      <w:bCs w:val="false"/>
    </w:rPr>
  </w:style>
  <w:style w:type="character" w:styleId="ListLabel44">
    <w:name w:val="ListLabel 44"/>
    <w:qFormat/>
    <w:rPr>
      <w:b w:val="false"/>
      <w:bCs w:val="false"/>
    </w:rPr>
  </w:style>
  <w:style w:type="character" w:styleId="ListLabel45">
    <w:name w:val="ListLabel 45"/>
    <w:qFormat/>
    <w:rPr>
      <w:b w:val="false"/>
      <w:bCs w:val="false"/>
    </w:rPr>
  </w:style>
  <w:style w:type="character" w:styleId="ListLabel46">
    <w:name w:val="ListLabel 46"/>
    <w:qFormat/>
    <w:rPr>
      <w:b w:val="false"/>
      <w:bCs w:val="false"/>
    </w:rPr>
  </w:style>
  <w:style w:type="character" w:styleId="ListLabel47">
    <w:name w:val="ListLabel 47"/>
    <w:qFormat/>
    <w:rPr>
      <w:b w:val="false"/>
      <w:bCs w:val="false"/>
    </w:rPr>
  </w:style>
  <w:style w:type="character" w:styleId="ListLabel48">
    <w:name w:val="ListLabel 48"/>
    <w:qFormat/>
    <w:rPr>
      <w:b w:val="false"/>
      <w:bCs w:val="false"/>
    </w:rPr>
  </w:style>
  <w:style w:type="character" w:styleId="ListLabel49">
    <w:name w:val="ListLabel 49"/>
    <w:qFormat/>
    <w:rPr>
      <w:b w:val="false"/>
      <w:bCs w:val="false"/>
    </w:rPr>
  </w:style>
  <w:style w:type="character" w:styleId="ListLabel50">
    <w:name w:val="ListLabel 50"/>
    <w:qFormat/>
    <w:rPr>
      <w:b w:val="false"/>
      <w:bCs w:val="false"/>
    </w:rPr>
  </w:style>
  <w:style w:type="character" w:styleId="ListLabel51">
    <w:name w:val="ListLabel 51"/>
    <w:qFormat/>
    <w:rPr>
      <w:b w:val="false"/>
      <w:bCs w:val="false"/>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b w:val="false"/>
    </w:rPr>
  </w:style>
  <w:style w:type="character" w:styleId="ListLabel59">
    <w:name w:val="ListLabel 59"/>
    <w:qFormat/>
    <w:rPr>
      <w:b w:val="false"/>
    </w:rPr>
  </w:style>
  <w:style w:type="character" w:styleId="ListLabel60">
    <w:name w:val="ListLabel 60"/>
    <w:qFormat/>
    <w:rPr>
      <w:b w:val="false"/>
    </w:rPr>
  </w:style>
  <w:style w:type="character" w:styleId="ListLabel61">
    <w:name w:val="ListLabel 61"/>
    <w:qFormat/>
    <w:rPr>
      <w:b w:val="false"/>
    </w:rPr>
  </w:style>
  <w:style w:type="character" w:styleId="ListLabel62">
    <w:name w:val="ListLabel 62"/>
    <w:qFormat/>
    <w:rPr>
      <w:b w:val="false"/>
    </w:rPr>
  </w:style>
  <w:style w:type="character" w:styleId="ListLabel63">
    <w:name w:val="ListLabel 63"/>
    <w:qFormat/>
    <w:rPr>
      <w:b w:val="false"/>
    </w:rPr>
  </w:style>
  <w:style w:type="character" w:styleId="ListLabel64">
    <w:name w:val="ListLabel 64"/>
    <w:qFormat/>
    <w:rPr>
      <w:b w:val="false"/>
    </w:rPr>
  </w:style>
  <w:style w:type="character" w:styleId="ListLabel65">
    <w:name w:val="ListLabel 65"/>
    <w:qFormat/>
    <w:rPr>
      <w:b w:val="false"/>
    </w:rPr>
  </w:style>
  <w:style w:type="character" w:styleId="ListLabel66">
    <w:name w:val="ListLabel 66"/>
    <w:qFormat/>
    <w:rPr>
      <w:b w:val="false"/>
    </w:rPr>
  </w:style>
  <w:style w:type="character" w:styleId="ListLabel67">
    <w:name w:val="ListLabel 67"/>
    <w:qFormat/>
    <w:rPr>
      <w:rFonts w:eastAsia="Times New Roman" w:cs="Times New Roman"/>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Symbol"/>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pBdr>
        <w:top w:val="single" w:sz="4" w:space="1" w:color="000001"/>
        <w:bottom w:val="single" w:sz="4" w:space="1" w:color="000001"/>
      </w:pBdr>
    </w:pPr>
    <w:rPr>
      <w:sz w:val="20"/>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tyle14" w:customStyle="1">
    <w:name w:val="Заголовок"/>
    <w:basedOn w:val="Normal"/>
    <w:qFormat/>
    <w:pPr>
      <w:keepNext/>
      <w:spacing w:before="240" w:after="120"/>
    </w:pPr>
    <w:rPr>
      <w:rFonts w:ascii="Arial" w:hAnsi="Arial" w:eastAsia="Arial Unicode MS" w:cs="Mangal"/>
      <w:sz w:val="28"/>
      <w:szCs w:val="28"/>
    </w:rPr>
  </w:style>
  <w:style w:type="paragraph" w:styleId="11" w:customStyle="1">
    <w:name w:val="Название1"/>
    <w:basedOn w:val="Normal"/>
    <w:qFormat/>
    <w:pPr>
      <w:suppressLineNumbers/>
      <w:spacing w:before="120" w:after="120"/>
    </w:pPr>
    <w:rPr>
      <w:rFonts w:cs="Mangal"/>
      <w:i/>
      <w:iCs/>
    </w:rPr>
  </w:style>
  <w:style w:type="paragraph" w:styleId="12" w:customStyle="1">
    <w:name w:val="Указатель1"/>
    <w:basedOn w:val="Normal"/>
    <w:qFormat/>
    <w:pPr>
      <w:suppressLineNumbers/>
    </w:pPr>
    <w:rPr>
      <w:rFonts w:cs="Mangal"/>
    </w:rPr>
  </w:style>
  <w:style w:type="paragraph" w:styleId="BalloonText">
    <w:name w:val="Balloon Text"/>
    <w:basedOn w:val="Normal"/>
    <w:qFormat/>
    <w:pPr/>
    <w:rPr>
      <w:rFonts w:ascii="Tahoma" w:hAnsi="Tahoma" w:cs="Tahoma"/>
      <w:sz w:val="16"/>
      <w:szCs w:val="16"/>
    </w:rPr>
  </w:style>
  <w:style w:type="paragraph" w:styleId="Footer">
    <w:name w:val="Footer"/>
    <w:basedOn w:val="Normal"/>
    <w:link w:val="ab"/>
    <w:uiPriority w:val="99"/>
    <w:pPr>
      <w:tabs>
        <w:tab w:val="center" w:pos="4677" w:leader="none"/>
        <w:tab w:val="right" w:pos="9355" w:leader="none"/>
      </w:tabs>
    </w:pPr>
    <w:rPr/>
  </w:style>
  <w:style w:type="paragraph" w:styleId="Header">
    <w:name w:val="Header"/>
    <w:basedOn w:val="Normal"/>
    <w:pPr>
      <w:tabs>
        <w:tab w:val="center" w:pos="4677" w:leader="none"/>
        <w:tab w:val="right" w:pos="9355" w:leader="none"/>
      </w:tabs>
    </w:pPr>
    <w:rPr/>
  </w:style>
  <w:style w:type="paragraph" w:styleId="212" w:customStyle="1">
    <w:name w:val="Основной текст 21"/>
    <w:basedOn w:val="Normal"/>
    <w:qFormat/>
    <w:pPr>
      <w:spacing w:lineRule="auto" w:line="480" w:before="0" w:after="120"/>
    </w:pPr>
    <w:rPr/>
  </w:style>
  <w:style w:type="paragraph" w:styleId="TextBodyIndent">
    <w:name w:val="Body Text Indent"/>
    <w:basedOn w:val="Normal"/>
    <w:pPr>
      <w:spacing w:before="0" w:after="120"/>
      <w:ind w:left="283" w:hanging="0"/>
    </w:pPr>
    <w:rPr/>
  </w:style>
  <w:style w:type="paragraph" w:styleId="Style15" w:customStyle="1">
    <w:name w:val="Содержимое врезки"/>
    <w:basedOn w:val="TextBody"/>
    <w:qFormat/>
    <w:pPr/>
    <w:rPr/>
  </w:style>
  <w:style w:type="paragraph" w:styleId="13" w:customStyle="1">
    <w:name w:val="Обычный (веб)1"/>
    <w:basedOn w:val="Normal"/>
    <w:qFormat/>
    <w:pPr>
      <w:spacing w:before="28" w:after="119"/>
    </w:pPr>
    <w:rPr>
      <w:lang w:val="ru-RU"/>
    </w:rPr>
  </w:style>
  <w:style w:type="paragraph" w:styleId="14" w:customStyle="1">
    <w:name w:val="Абзац списка1"/>
    <w:basedOn w:val="Normal"/>
    <w:qFormat/>
    <w:pPr>
      <w:ind w:left="720" w:hanging="0"/>
    </w:pPr>
    <w:rPr/>
  </w:style>
  <w:style w:type="paragraph" w:styleId="Title">
    <w:name w:val="Title"/>
    <w:basedOn w:val="Normal"/>
    <w:link w:val="af0"/>
    <w:qFormat/>
    <w:rsid w:val="007050ee"/>
    <w:pPr>
      <w:jc w:val="center"/>
      <w:textAlignment w:val="baseline"/>
    </w:pPr>
    <w:rPr>
      <w:b/>
      <w:bCs/>
      <w:sz w:val="28"/>
      <w:lang w:eastAsia="en-US"/>
    </w:rPr>
  </w:style>
  <w:style w:type="paragraph" w:styleId="ListParagraph">
    <w:name w:val="List Paragraph"/>
    <w:basedOn w:val="Normal"/>
    <w:qFormat/>
    <w:rsid w:val="003755d2"/>
    <w:pPr>
      <w:suppressAutoHyphens w:val="false"/>
      <w:spacing w:before="0" w:after="0"/>
      <w:ind w:left="720" w:hanging="0"/>
      <w:contextualSpacing/>
    </w:pPr>
    <w:rPr>
      <w:lang w:eastAsia="en-US"/>
    </w:rPr>
  </w:style>
  <w:style w:type="paragraph" w:styleId="15" w:customStyle="1">
    <w:name w:val="Обычный1"/>
    <w:qFormat/>
    <w:rsid w:val="009c1ec7"/>
    <w:pPr>
      <w:widowControl/>
      <w:suppressAutoHyphens w:val="true"/>
      <w:bidi w:val="0"/>
      <w:spacing w:lineRule="atLeast" w:line="100"/>
      <w:jc w:val="left"/>
    </w:pPr>
    <w:rPr>
      <w:rFonts w:ascii="Times New Roman" w:hAnsi="Times New Roman" w:eastAsia="Times New Roman" w:cs="Times New Roman"/>
      <w:color w:val="00000A"/>
      <w:sz w:val="24"/>
      <w:szCs w:val="24"/>
      <w:lang w:val="lv-LV" w:eastAsia="ar-SA" w:bidi="ar-SA"/>
    </w:rPr>
  </w:style>
  <w:style w:type="paragraph" w:styleId="Subtitle">
    <w:name w:val="Subtitle"/>
    <w:basedOn w:val="Normal"/>
    <w:link w:val="af3"/>
    <w:qFormat/>
    <w:rsid w:val="000d692b"/>
    <w:pPr>
      <w:suppressAutoHyphens w:val="false"/>
      <w:jc w:val="both"/>
    </w:pPr>
    <w:rPr>
      <w:rFonts w:eastAsia="Calibri"/>
      <w:sz w:val="28"/>
      <w:szCs w:val="28"/>
      <w:lang w:eastAsia="en-US"/>
    </w:rPr>
  </w:style>
  <w:style w:type="paragraph" w:styleId="BodyText2">
    <w:name w:val="Body Text 2"/>
    <w:basedOn w:val="Normal"/>
    <w:link w:val="211"/>
    <w:uiPriority w:val="99"/>
    <w:semiHidden/>
    <w:unhideWhenUsed/>
    <w:qFormat/>
    <w:rsid w:val="00c470ff"/>
    <w:pPr>
      <w:spacing w:lineRule="auto" w:line="480" w:before="0" w:after="120"/>
    </w:pPr>
    <w:rPr/>
  </w:style>
  <w:style w:type="paragraph" w:styleId="BodyTextIndent2">
    <w:name w:val="Body Text Indent 2"/>
    <w:basedOn w:val="Normal"/>
    <w:link w:val="24"/>
    <w:uiPriority w:val="99"/>
    <w:semiHidden/>
    <w:unhideWhenUsed/>
    <w:qFormat/>
    <w:rsid w:val="00e747ac"/>
    <w:pPr>
      <w:spacing w:lineRule="auto" w:line="480" w:before="0" w:after="120"/>
      <w:ind w:left="283" w:hanging="0"/>
    </w:pPr>
    <w:rPr/>
  </w:style>
  <w:style w:type="paragraph" w:styleId="FrameContents">
    <w:name w:val="Frame Contents"/>
    <w:basedOn w:val="Normal"/>
    <w:qFormat/>
    <w:pPr/>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4">
    <w:name w:val="Table Grid"/>
    <w:basedOn w:val="a1"/>
    <w:uiPriority w:val="39"/>
    <w:rsid w:val="007115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pkpsia@gmail.com" TargetMode="External"/><Relationship Id="rId4" Type="http://schemas.openxmlformats.org/officeDocument/2006/relationships/hyperlink" Target="mailto:info@sadzive.lv" TargetMode="External"/><Relationship Id="rId5" Type="http://schemas.openxmlformats.org/officeDocument/2006/relationships/hyperlink" Target="http://www.sadzive.lv/" TargetMode="External"/><Relationship Id="rId6" Type="http://schemas.openxmlformats.org/officeDocument/2006/relationships/hyperlink" Target="mailto:spkpsia@gmail.com" TargetMode="External"/><Relationship Id="rId7" Type="http://schemas.openxmlformats.org/officeDocument/2006/relationships/hyperlink" Target="mailto:info@sadzive.lv" TargetMode="External"/><Relationship Id="rId8" Type="http://schemas.openxmlformats.org/officeDocument/2006/relationships/hyperlink" Target="http://www.sadzive.lv/" TargetMode="External"/><Relationship Id="rId9" Type="http://schemas.openxmlformats.org/officeDocument/2006/relationships/hyperlink" Target="mailto:spkpsia@gmail.com" TargetMode="External"/><Relationship Id="rId10" Type="http://schemas.openxmlformats.org/officeDocument/2006/relationships/hyperlink" Target="http://www.sadzive.lv/" TargetMode="External"/><Relationship Id="rId11" Type="http://schemas.openxmlformats.org/officeDocument/2006/relationships/hyperlink" Target="mailto:spkpsia@gmail.com" TargetMode="External"/><Relationship Id="rId12" Type="http://schemas.openxmlformats.org/officeDocument/2006/relationships/hyperlink" Target="http://www.sadzive.lv/" TargetMode="Externa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326FF-EC6D-464F-B247-3EB0DE49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LibreOffice/5.2.4.2$Windows_X86_64 LibreOffice_project/3d5603e1122f0f102b62521720ab13a38a4e0eb0</Application>
  <Pages>3</Pages>
  <Words>599</Words>
  <Characters>4379</Characters>
  <CharactersWithSpaces>4941</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2019-01-10T06:34:00Z</dcterms:created>
  <dc:creator>OM</dc:creator>
  <dc:description/>
  <dc:language>lv-LV</dc:language>
  <cp:lastModifiedBy/>
  <cp:lastPrinted>2020-02-26T09:03:53Z</cp:lastPrinted>
  <dcterms:modified xsi:type="dcterms:W3CDTF">2020-02-27T08:43:25Z</dcterms:modified>
  <cp:revision>7</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